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5D154">
      <w:pPr>
        <w:pStyle w:val="3"/>
        <w:pBdr>
          <w:bottom w:val="thinThickSmallGap" w:color="FF0000" w:sz="24" w:space="1"/>
        </w:pBdr>
        <w:jc w:val="center"/>
        <w:rPr>
          <w:rFonts w:hint="eastAsia" w:ascii="方正小标宋_GBK" w:hAnsi="方正小标宋_GBK" w:eastAsia="方正小标宋_GBK" w:cs="方正小标宋_GBK"/>
          <w:b/>
          <w:color w:val="FF0000"/>
          <w:w w:val="70"/>
          <w:kern w:val="44"/>
          <w:sz w:val="48"/>
          <w:szCs w:val="48"/>
        </w:rPr>
      </w:pPr>
      <w:r>
        <w:rPr>
          <w:rFonts w:hint="eastAsia" w:ascii="方正小标宋_GBK" w:hAnsi="方正小标宋_GBK" w:eastAsia="方正小标宋_GBK" w:cs="方正小标宋_GBK"/>
          <w:b/>
          <w:color w:val="FF0000"/>
          <w:w w:val="70"/>
          <w:kern w:val="44"/>
          <w:sz w:val="48"/>
          <w:szCs w:val="48"/>
          <w:lang w:val="en-US" w:eastAsia="zh-CN"/>
        </w:rPr>
        <w:t xml:space="preserve"> </w:t>
      </w:r>
      <w:r>
        <w:rPr>
          <w:rFonts w:hint="eastAsia" w:ascii="方正小标宋_GBK" w:hAnsi="方正小标宋_GBK" w:eastAsia="方正小标宋_GBK" w:cs="方正小标宋_GBK"/>
          <w:b/>
          <w:color w:val="FF0000"/>
          <w:w w:val="70"/>
          <w:kern w:val="44"/>
          <w:sz w:val="48"/>
          <w:szCs w:val="48"/>
        </w:rPr>
        <w:t>新乡市平原城乡一体化示范区管理委员会生态环境局</w:t>
      </w:r>
    </w:p>
    <w:p w14:paraId="1AD12F71">
      <w:pPr>
        <w:keepNext w:val="0"/>
        <w:keepLines w:val="0"/>
        <w:pageBreakBefore w:val="0"/>
        <w:widowControl/>
        <w:kinsoku w:val="0"/>
        <w:wordWrap/>
        <w:overflowPunct/>
        <w:topLinePunct w:val="0"/>
        <w:autoSpaceDE w:val="0"/>
        <w:autoSpaceDN w:val="0"/>
        <w:bidi w:val="0"/>
        <w:adjustRightInd w:val="0"/>
        <w:snapToGrid w:val="0"/>
        <w:spacing w:before="53" w:line="560" w:lineRule="exact"/>
        <w:ind w:left="2876"/>
        <w:textAlignment w:val="baseline"/>
        <w:outlineLvl w:val="0"/>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pacing w:val="13"/>
          <w:sz w:val="44"/>
          <w:szCs w:val="44"/>
        </w:rPr>
        <w:t>行</w:t>
      </w:r>
      <w:r>
        <w:rPr>
          <w:rFonts w:hint="eastAsia" w:ascii="方正小标宋_GBK" w:hAnsi="方正小标宋_GBK" w:eastAsia="方正小标宋_GBK" w:cs="方正小标宋_GBK"/>
          <w:b/>
          <w:bCs/>
          <w:spacing w:val="8"/>
          <w:sz w:val="44"/>
          <w:szCs w:val="44"/>
        </w:rPr>
        <w:t>政处罚决定书</w:t>
      </w:r>
    </w:p>
    <w:p w14:paraId="79ED535F">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豫</w:t>
      </w:r>
      <w:r>
        <w:rPr>
          <w:rFonts w:hint="eastAsia" w:ascii="仿宋_GB2312" w:hAnsi="仿宋_GB2312" w:eastAsia="仿宋_GB2312" w:cs="仿宋_GB2312"/>
          <w:spacing w:val="-2"/>
          <w:sz w:val="32"/>
          <w:szCs w:val="32"/>
          <w:lang w:val="en-US" w:eastAsia="zh-CN"/>
        </w:rPr>
        <w:t>0773</w:t>
      </w:r>
      <w:r>
        <w:rPr>
          <w:rFonts w:hint="eastAsia" w:ascii="仿宋_GB2312" w:hAnsi="仿宋_GB2312" w:eastAsia="仿宋_GB2312" w:cs="仿宋_GB2312"/>
          <w:spacing w:val="-3"/>
          <w:sz w:val="32"/>
          <w:szCs w:val="32"/>
        </w:rPr>
        <w:t>环</w:t>
      </w:r>
      <w:r>
        <w:rPr>
          <w:rFonts w:hint="eastAsia" w:ascii="仿宋_GB2312" w:hAnsi="仿宋_GB2312" w:eastAsia="仿宋_GB2312" w:cs="仿宋_GB2312"/>
          <w:spacing w:val="-2"/>
          <w:sz w:val="32"/>
          <w:szCs w:val="32"/>
        </w:rPr>
        <w:t>罚决字〔</w:t>
      </w:r>
      <w:r>
        <w:rPr>
          <w:rFonts w:hint="eastAsia" w:ascii="仿宋_GB2312" w:hAnsi="仿宋_GB2312" w:eastAsia="仿宋_GB2312" w:cs="仿宋_GB2312"/>
          <w:spacing w:val="-2"/>
          <w:sz w:val="32"/>
          <w:szCs w:val="32"/>
          <w:lang w:val="en-US" w:eastAsia="zh-CN"/>
        </w:rPr>
        <w:t>2026</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6</w:t>
      </w:r>
      <w:r>
        <w:rPr>
          <w:rFonts w:hint="eastAsia" w:ascii="仿宋_GB2312" w:hAnsi="仿宋_GB2312" w:eastAsia="仿宋_GB2312" w:cs="仿宋_GB2312"/>
          <w:spacing w:val="-2"/>
          <w:sz w:val="32"/>
          <w:szCs w:val="32"/>
        </w:rPr>
        <w:t>号</w:t>
      </w:r>
    </w:p>
    <w:p w14:paraId="6F18B1D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12"/>
          <w:sz w:val="32"/>
          <w:szCs w:val="32"/>
          <w:u w:val="none" w:color="auto"/>
          <w:lang w:eastAsia="zh-CN"/>
        </w:rPr>
        <w:t>公司</w:t>
      </w:r>
      <w:r>
        <w:rPr>
          <w:rFonts w:hint="eastAsia" w:ascii="仿宋_GB2312" w:hAnsi="仿宋_GB2312" w:eastAsia="仿宋_GB2312" w:cs="仿宋_GB2312"/>
          <w:spacing w:val="-9"/>
          <w:sz w:val="32"/>
          <w:szCs w:val="32"/>
          <w:u w:val="none" w:color="auto"/>
        </w:rPr>
        <w:t>名</w:t>
      </w:r>
      <w:r>
        <w:rPr>
          <w:rFonts w:hint="eastAsia" w:ascii="仿宋_GB2312" w:hAnsi="仿宋_GB2312" w:eastAsia="仿宋_GB2312" w:cs="仿宋_GB2312"/>
          <w:spacing w:val="-6"/>
          <w:sz w:val="32"/>
          <w:szCs w:val="32"/>
          <w:u w:val="none" w:color="auto"/>
        </w:rPr>
        <w:t>称：</w:t>
      </w:r>
      <w:r>
        <w:rPr>
          <w:rFonts w:hint="eastAsia" w:ascii="仿宋_GB2312" w:hAnsi="仿宋_GB2312" w:eastAsia="仿宋_GB2312" w:cs="仿宋_GB2312"/>
          <w:snapToGrid w:val="0"/>
          <w:color w:val="000000"/>
          <w:spacing w:val="7"/>
          <w:kern w:val="0"/>
          <w:sz w:val="32"/>
          <w:szCs w:val="32"/>
          <w:u w:val="none"/>
          <w:lang w:val="en-US" w:eastAsia="zh-CN"/>
        </w:rPr>
        <w:t>河南聚鹏纸业有限公司</w:t>
      </w:r>
    </w:p>
    <w:p w14:paraId="55CD630A">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6"/>
          <w:sz w:val="32"/>
          <w:szCs w:val="32"/>
          <w:u w:val="none" w:color="auto"/>
        </w:rPr>
        <w:t>统一社会信用代码：</w:t>
      </w:r>
      <w:r>
        <w:rPr>
          <w:rFonts w:hint="eastAsia" w:ascii="仿宋_GB2312" w:hAnsi="仿宋_GB2312" w:eastAsia="仿宋_GB2312" w:cs="仿宋_GB2312"/>
          <w:bCs/>
          <w:sz w:val="32"/>
          <w:szCs w:val="32"/>
          <w:u w:val="none" w:color="auto"/>
          <w:lang w:val="en-US" w:eastAsia="zh-CN"/>
        </w:rPr>
        <w:t>91410700MA40LRP28F</w:t>
      </w:r>
    </w:p>
    <w:p w14:paraId="182FA1D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napToGrid w:val="0"/>
          <w:color w:val="000000"/>
          <w:spacing w:val="7"/>
          <w:kern w:val="0"/>
          <w:sz w:val="32"/>
          <w:szCs w:val="32"/>
          <w:lang w:val="en-US" w:eastAsia="zh-CN"/>
        </w:rPr>
        <w:t>法定代表人</w:t>
      </w:r>
      <w:r>
        <w:rPr>
          <w:rFonts w:hint="eastAsia" w:ascii="仿宋_GB2312" w:hAnsi="仿宋_GB2312" w:eastAsia="仿宋_GB2312" w:cs="仿宋_GB2312"/>
          <w:spacing w:val="-22"/>
          <w:sz w:val="32"/>
          <w:szCs w:val="32"/>
          <w:u w:val="none" w:color="auto"/>
        </w:rPr>
        <w:t>：</w:t>
      </w:r>
      <w:r>
        <w:rPr>
          <w:rFonts w:hint="eastAsia" w:ascii="仿宋_GB2312" w:hAnsi="仿宋_GB2312" w:eastAsia="仿宋_GB2312" w:cs="仿宋_GB2312"/>
          <w:spacing w:val="-3"/>
          <w:sz w:val="32"/>
          <w:szCs w:val="32"/>
          <w:u w:val="none"/>
          <w:lang w:val="en-US" w:eastAsia="zh-CN"/>
        </w:rPr>
        <w:t>刘志慧</w:t>
      </w:r>
    </w:p>
    <w:p w14:paraId="27664E7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23"/>
          <w:sz w:val="32"/>
          <w:szCs w:val="32"/>
          <w:u w:val="none" w:color="auto"/>
        </w:rPr>
        <w:t>地</w:t>
      </w:r>
      <w:r>
        <w:rPr>
          <w:rFonts w:hint="eastAsia" w:ascii="仿宋_GB2312" w:hAnsi="仿宋_GB2312" w:eastAsia="仿宋_GB2312" w:cs="仿宋_GB2312"/>
          <w:spacing w:val="-22"/>
          <w:sz w:val="32"/>
          <w:szCs w:val="32"/>
          <w:u w:val="none" w:color="auto"/>
        </w:rPr>
        <w:t>址</w:t>
      </w:r>
      <w:r>
        <w:rPr>
          <w:rFonts w:hint="eastAsia" w:ascii="仿宋_GB2312" w:hAnsi="仿宋_GB2312" w:eastAsia="仿宋_GB2312" w:cs="仿宋_GB2312"/>
          <w:spacing w:val="-7"/>
          <w:sz w:val="32"/>
          <w:szCs w:val="32"/>
          <w:u w:val="none" w:color="auto"/>
        </w:rPr>
        <w:t>：</w:t>
      </w:r>
      <w:r>
        <w:rPr>
          <w:rFonts w:hint="eastAsia" w:ascii="仿宋_GB2312" w:hAnsi="仿宋_GB2312" w:eastAsia="仿宋_GB2312" w:cs="仿宋_GB2312"/>
          <w:spacing w:val="-5"/>
          <w:sz w:val="32"/>
          <w:szCs w:val="32"/>
          <w:u w:val="none" w:color="auto"/>
          <w:lang w:val="en-US" w:eastAsia="zh-CN"/>
        </w:rPr>
        <w:t>新乡市平原示范区昆仑山路66号（中原印刷包装产业园21栋）</w:t>
      </w:r>
    </w:p>
    <w:p w14:paraId="6F20573C">
      <w:pPr>
        <w:keepNext w:val="0"/>
        <w:keepLines w:val="0"/>
        <w:pageBreakBefore w:val="0"/>
        <w:widowControl/>
        <w:kinsoku w:val="0"/>
        <w:wordWrap/>
        <w:overflowPunct/>
        <w:topLinePunct w:val="0"/>
        <w:autoSpaceDE w:val="0"/>
        <w:autoSpaceDN w:val="0"/>
        <w:bidi w:val="0"/>
        <w:adjustRightInd w:val="0"/>
        <w:snapToGrid w:val="0"/>
        <w:spacing w:after="0" w:line="560" w:lineRule="exact"/>
        <w:ind w:left="679" w:leftChars="0" w:right="0" w:hanging="679" w:hanging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pacing w:val="9"/>
          <w:position w:val="1"/>
          <w:sz w:val="32"/>
          <w:szCs w:val="32"/>
        </w:rPr>
        <w:t>一</w:t>
      </w:r>
      <w:r>
        <w:rPr>
          <w:rFonts w:hint="eastAsia" w:ascii="仿宋_GB2312" w:hAnsi="仿宋_GB2312" w:eastAsia="仿宋_GB2312" w:cs="仿宋_GB2312"/>
          <w:b/>
          <w:bCs/>
          <w:spacing w:val="8"/>
          <w:position w:val="1"/>
          <w:sz w:val="32"/>
          <w:szCs w:val="32"/>
        </w:rPr>
        <w:t>、环境违法事实和证据</w:t>
      </w:r>
      <w:r>
        <w:rPr>
          <w:rFonts w:hint="eastAsia" w:ascii="仿宋_GB2312" w:hAnsi="仿宋_GB2312" w:eastAsia="仿宋_GB2312" w:cs="仿宋_GB2312"/>
          <w:b/>
          <w:bCs/>
          <w:spacing w:val="8"/>
          <w:position w:val="1"/>
          <w:sz w:val="32"/>
          <w:szCs w:val="32"/>
          <w:lang w:val="en-US" w:eastAsia="zh-CN"/>
        </w:rPr>
        <w:t xml:space="preserve"> </w:t>
      </w:r>
    </w:p>
    <w:p w14:paraId="278864AA">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根据新乡市生态环境保护委员会办公室关于将重污染天气橙色预警（II级响应）升级为红色预警（I级响应）的通知（新环委办〔2026〕8号），新乡市决定于2026年1月22日18时起将重污染天气橙色预警（II级响应）升级为红色预警（I级响应），解除预警时间另行通知。你公司在重污染天气红色预警（I级响应）管控措施为:“涂布等涉气工序停产；</w:t>
      </w:r>
      <w:r>
        <w:rPr>
          <w:rFonts w:hint="eastAsia" w:ascii="仿宋_GB2312" w:hAnsi="仿宋_GB2312" w:eastAsia="仿宋_GB2312" w:cs="仿宋_GB2312"/>
          <w:spacing w:val="-10"/>
          <w:sz w:val="32"/>
          <w:szCs w:val="32"/>
          <w:u w:val="none"/>
          <w:lang w:val="en-US" w:eastAsia="zh-CN"/>
        </w:rPr>
        <w:t>覆膜等涉气工序停产；</w:t>
      </w:r>
      <w:r>
        <w:rPr>
          <w:rFonts w:hint="eastAsia" w:ascii="仿宋_GB2312" w:hAnsi="仿宋_GB2312" w:eastAsia="仿宋_GB2312" w:cs="仿宋_GB2312"/>
          <w:spacing w:val="-4"/>
          <w:sz w:val="32"/>
          <w:szCs w:val="32"/>
          <w:u w:val="none" w:color="auto"/>
          <w:lang w:val="en-US" w:eastAsia="zh-CN"/>
        </w:rPr>
        <w:t>停止使用国四及以下重型载货车辆（含燃气）进行运输，停止使用国二及以下排放标准非道路移动机械（紧急检修机械除外）”。</w:t>
      </w:r>
    </w:p>
    <w:p w14:paraId="2C4646C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2026年1月22日20时50分，我局执法人员对该公司是否落实重污染天气预警管控措施进行执法检查，检查发现该公司金银卡机正在进行生产，污染防治设施正常运行。未落实重污染天气红色预警（I级响应）管控措施。</w:t>
      </w:r>
    </w:p>
    <w:p w14:paraId="11A7A5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left"/>
        <w:textAlignment w:val="auto"/>
        <w:rPr>
          <w:rFonts w:hint="eastAsia" w:ascii="仿宋_GB2312" w:hAnsi="仿宋_GB2312" w:eastAsia="仿宋_GB2312" w:cs="仿宋_GB2312"/>
          <w:snapToGrid w:val="0"/>
          <w:color w:val="000000"/>
          <w:spacing w:val="5"/>
          <w:kern w:val="0"/>
          <w:sz w:val="32"/>
          <w:szCs w:val="32"/>
          <w:u w:val="none" w:color="auto"/>
          <w:lang w:val="en-US" w:eastAsia="zh-CN"/>
        </w:rPr>
      </w:pPr>
      <w:r>
        <w:rPr>
          <w:rFonts w:hint="eastAsia" w:ascii="仿宋_GB2312" w:hAnsi="仿宋_GB2312" w:eastAsia="仿宋_GB2312" w:cs="仿宋_GB2312"/>
          <w:snapToGrid w:val="0"/>
          <w:color w:val="000000"/>
          <w:spacing w:val="5"/>
          <w:kern w:val="0"/>
          <w:sz w:val="32"/>
          <w:szCs w:val="32"/>
          <w:u w:val="none" w:color="auto"/>
          <w:lang w:val="en-US" w:eastAsia="zh-CN"/>
        </w:rPr>
        <w:t>以上事实，主要有以下证据证明：</w:t>
      </w:r>
    </w:p>
    <w:p w14:paraId="0B168FC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执法人员行政执法证复印件</w:t>
      </w: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份（共</w:t>
      </w:r>
      <w:r>
        <w:rPr>
          <w:rFonts w:hint="eastAsia" w:ascii="仿宋_GB2312" w:hAnsi="仿宋_GB2312" w:eastAsia="仿宋_GB2312" w:cs="仿宋_GB2312"/>
          <w:spacing w:val="-4"/>
          <w:sz w:val="32"/>
          <w:szCs w:val="32"/>
          <w:u w:val="none" w:color="auto"/>
          <w:lang w:val="en-US" w:eastAsia="zh-CN"/>
        </w:rPr>
        <w:t>2</w:t>
      </w:r>
      <w:r>
        <w:rPr>
          <w:rFonts w:hint="default" w:ascii="仿宋_GB2312" w:hAnsi="仿宋_GB2312" w:eastAsia="仿宋_GB2312" w:cs="仿宋_GB2312"/>
          <w:spacing w:val="-4"/>
          <w:sz w:val="32"/>
          <w:szCs w:val="32"/>
          <w:u w:val="none" w:color="auto"/>
          <w:lang w:val="en-US" w:eastAsia="zh-CN"/>
        </w:rPr>
        <w:t>页）</w:t>
      </w:r>
      <w:r>
        <w:rPr>
          <w:rFonts w:hint="eastAsia" w:ascii="仿宋_GB2312" w:hAnsi="仿宋_GB2312" w:eastAsia="仿宋_GB2312" w:cs="仿宋_GB2312"/>
          <w:spacing w:val="-4"/>
          <w:sz w:val="32"/>
          <w:szCs w:val="32"/>
          <w:u w:val="none" w:color="auto"/>
          <w:lang w:val="en-US" w:eastAsia="zh-CN"/>
        </w:rPr>
        <w:t>，</w:t>
      </w:r>
      <w:r>
        <w:rPr>
          <w:rFonts w:hint="default" w:ascii="仿宋_GB2312" w:hAnsi="仿宋_GB2312" w:eastAsia="仿宋_GB2312" w:cs="仿宋_GB2312"/>
          <w:spacing w:val="-4"/>
          <w:sz w:val="32"/>
          <w:szCs w:val="32"/>
          <w:u w:val="none" w:color="auto"/>
          <w:lang w:val="en-US" w:eastAsia="zh-CN"/>
        </w:rPr>
        <w:t>证明执法人员行政执行资格。</w:t>
      </w:r>
    </w:p>
    <w:p w14:paraId="79418BA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2.2026年1月22日,执法人员对你公司出示执法证件一份（共1页），执法人员制作现场检查(勘验)笔录一份（共4页），现场勘查示意图一份（共1页）、2026年1月22日新乡市生态环境保护委员会办公室关于将重污染天气橙色预警（II级响应）升级为红色预警（I级响应）的通知（新环委办〔2026〕8号）一份（共5页）、河南聚鹏纸业有限公司重污染天气应急减排措施公示牌照片一份（共1页）、金银卡机生产照片一份（共1页）、污染防治设施开启照片一份（共1页）、微信工作通知信息截图一份（共1页），2026年1月23日执法人员制作调查询问笔录一份（共6页），以上证据证明你公司未落实重污染天气红色预警（I级响应）管控措施。</w:t>
      </w:r>
    </w:p>
    <w:p w14:paraId="64905F7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3.2026年1月22日，执法人员向你公司提取了营业执照复印件一份（共1页）、法定代表人身份证复印件一份（共1页）、授权委托书一份（共1页）、受委托人身份证复印件一份（共1页）。以上证据证明当事人、被询问人身份及与当事人关系。</w:t>
      </w:r>
    </w:p>
    <w:p w14:paraId="2965930F">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4.2026年1月22日，执法人员向你公司提取了排污许可证复印件和环评文件复印件一份（共5页）、中华人民共和国公司所得税月（季）度预缴纳税申报表（A类）复印件一份（共2页），以上证据证明你公司排污许可证管理类别为简化管理、公司规模属于小型公司。</w:t>
      </w:r>
    </w:p>
    <w:p w14:paraId="2B3DBE53">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eastAsia"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根据以上查明的事实，2026年1月23日，我局对你公司下达《责令改正违法行为决定书》（豫0773环责改字〔2025〕3号），责令你公司</w:t>
      </w:r>
      <w:r>
        <w:rPr>
          <w:rFonts w:hint="eastAsia" w:ascii="仿宋_GB2312" w:hAnsi="仿宋_GB2312" w:eastAsia="仿宋_GB2312" w:cs="仿宋_GB2312"/>
          <w:b w:val="0"/>
          <w:bCs w:val="0"/>
          <w:spacing w:val="-7"/>
          <w:sz w:val="32"/>
          <w:szCs w:val="32"/>
          <w:u w:val="none" w:color="auto"/>
          <w:lang w:val="en-US" w:eastAsia="zh-CN"/>
        </w:rPr>
        <w:t>立即停止生产，落实重污染天气管控措施。</w:t>
      </w:r>
    </w:p>
    <w:p w14:paraId="4A434B9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left"/>
        <w:textAlignment w:val="baseline"/>
        <w:rPr>
          <w:rFonts w:hint="default" w:ascii="仿宋_GB2312" w:hAnsi="仿宋_GB2312" w:eastAsia="仿宋_GB2312" w:cs="仿宋_GB2312"/>
          <w:spacing w:val="-7"/>
          <w:sz w:val="32"/>
          <w:szCs w:val="32"/>
          <w:u w:val="none"/>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2026年1月23日，根据责改要求，我局对你公司违法行为整改情况进行复查，</w:t>
      </w:r>
      <w:r>
        <w:rPr>
          <w:rFonts w:hint="default" w:ascii="仿宋_GB2312" w:hAnsi="仿宋_GB2312" w:eastAsia="仿宋_GB2312" w:cs="仿宋_GB2312"/>
          <w:spacing w:val="-7"/>
          <w:sz w:val="32"/>
          <w:szCs w:val="32"/>
          <w:u w:val="none"/>
          <w:lang w:val="en-US" w:eastAsia="zh-CN"/>
        </w:rPr>
        <w:t>你</w:t>
      </w:r>
      <w:r>
        <w:rPr>
          <w:rFonts w:hint="eastAsia" w:ascii="仿宋_GB2312" w:hAnsi="仿宋_GB2312" w:eastAsia="仿宋_GB2312" w:cs="仿宋_GB2312"/>
          <w:spacing w:val="-7"/>
          <w:sz w:val="32"/>
          <w:szCs w:val="32"/>
          <w:u w:val="none"/>
          <w:lang w:val="en-US" w:eastAsia="zh-CN"/>
        </w:rPr>
        <w:t>公司</w:t>
      </w:r>
      <w:r>
        <w:rPr>
          <w:rFonts w:hint="default" w:ascii="仿宋_GB2312" w:hAnsi="仿宋_GB2312" w:eastAsia="仿宋_GB2312" w:cs="仿宋_GB2312"/>
          <w:spacing w:val="-7"/>
          <w:sz w:val="32"/>
          <w:szCs w:val="32"/>
          <w:u w:val="none"/>
          <w:lang w:val="en-US" w:eastAsia="zh-CN"/>
        </w:rPr>
        <w:t>已经按照要求</w:t>
      </w:r>
      <w:r>
        <w:rPr>
          <w:rFonts w:hint="eastAsia" w:ascii="仿宋_GB2312" w:hAnsi="仿宋_GB2312" w:eastAsia="仿宋_GB2312" w:cs="仿宋_GB2312"/>
          <w:spacing w:val="-7"/>
          <w:sz w:val="32"/>
          <w:szCs w:val="32"/>
          <w:u w:val="none"/>
          <w:lang w:val="en-US" w:eastAsia="zh-CN"/>
        </w:rPr>
        <w:t>落实重污染天气橙色预警管控，金银卡机未进行生产</w:t>
      </w:r>
      <w:r>
        <w:rPr>
          <w:rFonts w:hint="default" w:ascii="仿宋_GB2312" w:hAnsi="仿宋_GB2312" w:eastAsia="仿宋_GB2312" w:cs="仿宋_GB2312"/>
          <w:spacing w:val="-7"/>
          <w:sz w:val="32"/>
          <w:szCs w:val="32"/>
          <w:u w:val="none"/>
          <w:lang w:val="en-US" w:eastAsia="zh-CN"/>
        </w:rPr>
        <w:t>。</w:t>
      </w:r>
    </w:p>
    <w:p w14:paraId="10F13C86">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spacing w:val="8"/>
          <w:sz w:val="32"/>
          <w:szCs w:val="32"/>
          <w:u w:val="none" w:color="auto"/>
        </w:rPr>
        <w:t>我局</w:t>
      </w:r>
      <w:r>
        <w:rPr>
          <w:rFonts w:hint="eastAsia" w:ascii="仿宋_GB2312" w:hAnsi="仿宋_GB2312" w:eastAsia="仿宋_GB2312" w:cs="仿宋_GB2312"/>
          <w:spacing w:val="8"/>
          <w:sz w:val="32"/>
          <w:szCs w:val="32"/>
          <w:u w:val="none" w:color="auto"/>
          <w:lang w:val="en-US" w:eastAsia="zh-CN"/>
        </w:rPr>
        <w:t>于2026</w:t>
      </w:r>
      <w:r>
        <w:rPr>
          <w:rFonts w:hint="eastAsia" w:ascii="仿宋_GB2312" w:hAnsi="仿宋_GB2312" w:eastAsia="仿宋_GB2312" w:cs="仿宋_GB2312"/>
          <w:spacing w:val="8"/>
          <w:sz w:val="32"/>
          <w:szCs w:val="32"/>
          <w:u w:val="none" w:color="auto"/>
        </w:rPr>
        <w:t>年</w:t>
      </w:r>
      <w:r>
        <w:rPr>
          <w:rFonts w:hint="eastAsia" w:ascii="仿宋_GB2312" w:hAnsi="仿宋_GB2312" w:eastAsia="仿宋_GB2312" w:cs="仿宋_GB2312"/>
          <w:spacing w:val="8"/>
          <w:sz w:val="32"/>
          <w:szCs w:val="32"/>
          <w:u w:val="none" w:color="auto"/>
          <w:lang w:val="en-US" w:eastAsia="zh-CN"/>
        </w:rPr>
        <w:t>2</w:t>
      </w:r>
      <w:r>
        <w:rPr>
          <w:rFonts w:hint="eastAsia" w:ascii="仿宋_GB2312" w:hAnsi="仿宋_GB2312" w:eastAsia="仿宋_GB2312" w:cs="仿宋_GB2312"/>
          <w:spacing w:val="8"/>
          <w:sz w:val="32"/>
          <w:szCs w:val="32"/>
          <w:u w:val="none" w:color="auto"/>
        </w:rPr>
        <w:t>月</w:t>
      </w:r>
      <w:r>
        <w:rPr>
          <w:rFonts w:hint="eastAsia" w:ascii="仿宋_GB2312" w:hAnsi="仿宋_GB2312" w:eastAsia="仿宋_GB2312" w:cs="仿宋_GB2312"/>
          <w:spacing w:val="8"/>
          <w:sz w:val="32"/>
          <w:szCs w:val="32"/>
          <w:u w:val="none" w:color="auto"/>
          <w:lang w:val="en-US" w:eastAsia="zh-CN"/>
        </w:rPr>
        <w:t>4</w:t>
      </w:r>
      <w:r>
        <w:rPr>
          <w:rFonts w:hint="eastAsia" w:ascii="仿宋_GB2312" w:hAnsi="仿宋_GB2312" w:eastAsia="仿宋_GB2312" w:cs="仿宋_GB2312"/>
          <w:spacing w:val="8"/>
          <w:sz w:val="32"/>
          <w:szCs w:val="32"/>
          <w:u w:val="none" w:color="auto"/>
        </w:rPr>
        <w:t>日</w:t>
      </w:r>
      <w:r>
        <w:rPr>
          <w:rFonts w:hint="eastAsia" w:ascii="仿宋_GB2312" w:hAnsi="仿宋_GB2312" w:eastAsia="仿宋_GB2312" w:cs="仿宋_GB2312"/>
          <w:spacing w:val="8"/>
          <w:sz w:val="32"/>
          <w:szCs w:val="32"/>
          <w:u w:val="none" w:color="auto"/>
          <w:lang w:val="en-US" w:eastAsia="zh-CN"/>
        </w:rPr>
        <w:t>以直接</w:t>
      </w:r>
      <w:r>
        <w:rPr>
          <w:rFonts w:hint="eastAsia" w:ascii="仿宋_GB2312" w:hAnsi="仿宋_GB2312" w:eastAsia="仿宋_GB2312" w:cs="仿宋_GB2312"/>
          <w:spacing w:val="8"/>
          <w:sz w:val="32"/>
          <w:szCs w:val="32"/>
          <w:u w:val="none" w:color="auto"/>
        </w:rPr>
        <w:t>送达《行政处罚事先(听证)告知书》(豫</w:t>
      </w:r>
      <w:r>
        <w:rPr>
          <w:rFonts w:hint="eastAsia" w:ascii="仿宋_GB2312" w:hAnsi="仿宋_GB2312" w:eastAsia="仿宋_GB2312" w:cs="仿宋_GB2312"/>
          <w:spacing w:val="8"/>
          <w:sz w:val="32"/>
          <w:szCs w:val="32"/>
          <w:u w:val="none" w:color="auto"/>
          <w:lang w:val="en-US" w:eastAsia="zh-CN"/>
        </w:rPr>
        <w:t>0773</w:t>
      </w:r>
      <w:r>
        <w:rPr>
          <w:rFonts w:hint="eastAsia" w:ascii="仿宋_GB2312" w:hAnsi="仿宋_GB2312" w:eastAsia="仿宋_GB2312" w:cs="仿宋_GB2312"/>
          <w:spacing w:val="8"/>
          <w:sz w:val="32"/>
          <w:szCs w:val="32"/>
          <w:u w:val="none" w:color="auto"/>
        </w:rPr>
        <w:t>环罚告字〔</w:t>
      </w:r>
      <w:r>
        <w:rPr>
          <w:rFonts w:hint="eastAsia" w:ascii="仿宋_GB2312" w:hAnsi="仿宋_GB2312" w:eastAsia="仿宋_GB2312" w:cs="仿宋_GB2312"/>
          <w:spacing w:val="8"/>
          <w:sz w:val="32"/>
          <w:szCs w:val="32"/>
          <w:u w:val="none" w:color="auto"/>
          <w:lang w:val="en-US" w:eastAsia="zh-CN"/>
        </w:rPr>
        <w:t>2026</w:t>
      </w:r>
      <w:r>
        <w:rPr>
          <w:rFonts w:hint="eastAsia" w:ascii="仿宋_GB2312" w:hAnsi="仿宋_GB2312" w:eastAsia="仿宋_GB2312" w:cs="仿宋_GB2312"/>
          <w:spacing w:val="8"/>
          <w:sz w:val="32"/>
          <w:szCs w:val="32"/>
          <w:u w:val="none" w:color="auto"/>
        </w:rPr>
        <w:t>〕</w:t>
      </w:r>
      <w:r>
        <w:rPr>
          <w:rFonts w:hint="eastAsia" w:ascii="仿宋_GB2312" w:hAnsi="仿宋_GB2312" w:eastAsia="仿宋_GB2312" w:cs="仿宋_GB2312"/>
          <w:spacing w:val="8"/>
          <w:sz w:val="32"/>
          <w:szCs w:val="32"/>
          <w:u w:val="none" w:color="auto"/>
          <w:lang w:val="en-US" w:eastAsia="zh-CN"/>
        </w:rPr>
        <w:t>4</w:t>
      </w:r>
      <w:r>
        <w:rPr>
          <w:rFonts w:hint="eastAsia" w:ascii="仿宋_GB2312" w:hAnsi="仿宋_GB2312" w:eastAsia="仿宋_GB2312" w:cs="仿宋_GB2312"/>
          <w:spacing w:val="8"/>
          <w:sz w:val="32"/>
          <w:szCs w:val="32"/>
          <w:u w:val="none" w:color="auto"/>
        </w:rPr>
        <w:t>号)</w:t>
      </w:r>
      <w:r>
        <w:rPr>
          <w:rFonts w:hint="eastAsia" w:ascii="仿宋_GB2312" w:hAnsi="仿宋_GB2312" w:eastAsia="仿宋_GB2312" w:cs="仿宋_GB2312"/>
          <w:spacing w:val="8"/>
          <w:sz w:val="32"/>
          <w:szCs w:val="32"/>
          <w:u w:val="none" w:color="auto"/>
          <w:lang w:val="en-US" w:eastAsia="zh-CN"/>
        </w:rPr>
        <w:t>的方式</w:t>
      </w:r>
      <w:r>
        <w:rPr>
          <w:rFonts w:hint="default" w:ascii="仿宋_GB2312" w:hAnsi="仿宋_GB2312" w:eastAsia="仿宋_GB2312" w:cs="仿宋_GB2312"/>
          <w:spacing w:val="8"/>
          <w:sz w:val="32"/>
          <w:szCs w:val="32"/>
          <w:u w:val="none" w:color="auto"/>
          <w:lang w:val="en-US" w:eastAsia="zh-CN"/>
        </w:rPr>
        <w:t>告知拟对你单位作出行政处罚决定的事实、理由、依据、内容以及你</w:t>
      </w:r>
      <w:r>
        <w:rPr>
          <w:rFonts w:hint="eastAsia" w:ascii="仿宋_GB2312" w:hAnsi="仿宋_GB2312" w:eastAsia="仿宋_GB2312" w:cs="仿宋_GB2312"/>
          <w:spacing w:val="8"/>
          <w:sz w:val="32"/>
          <w:szCs w:val="32"/>
          <w:u w:val="none" w:color="auto"/>
          <w:lang w:val="en-US" w:eastAsia="zh-CN"/>
        </w:rPr>
        <w:t>公司</w:t>
      </w:r>
      <w:r>
        <w:rPr>
          <w:rFonts w:hint="default" w:ascii="仿宋_GB2312" w:hAnsi="仿宋_GB2312" w:eastAsia="仿宋_GB2312" w:cs="仿宋_GB2312"/>
          <w:spacing w:val="8"/>
          <w:sz w:val="32"/>
          <w:szCs w:val="32"/>
          <w:u w:val="none" w:color="auto"/>
          <w:lang w:val="en-US" w:eastAsia="zh-CN"/>
        </w:rPr>
        <w:t>依法享有的申请陈述申辩和听证的权利。</w:t>
      </w:r>
    </w:p>
    <w:p w14:paraId="6293C5CF">
      <w:pPr>
        <w:keepNext w:val="0"/>
        <w:keepLines w:val="0"/>
        <w:pageBreakBefore w:val="0"/>
        <w:wordWrap/>
        <w:overflowPunct/>
        <w:topLinePunct w:val="0"/>
        <w:bidi w:val="0"/>
        <w:snapToGrid w:val="0"/>
        <w:spacing w:line="560" w:lineRule="exact"/>
        <w:ind w:left="0" w:firstLine="672" w:firstLineChars="200"/>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2026</w:t>
      </w:r>
      <w:bookmarkStart w:id="0" w:name="_GoBack"/>
      <w:bookmarkEnd w:id="0"/>
      <w:r>
        <w:rPr>
          <w:rFonts w:hint="default" w:ascii="仿宋_GB2312" w:hAnsi="仿宋_GB2312" w:eastAsia="仿宋_GB2312" w:cs="仿宋_GB2312"/>
          <w:b w:val="0"/>
          <w:bCs w:val="0"/>
          <w:snapToGrid w:val="0"/>
          <w:color w:val="000000"/>
          <w:spacing w:val="8"/>
          <w:kern w:val="0"/>
          <w:sz w:val="32"/>
          <w:szCs w:val="32"/>
          <w:u w:val="none" w:color="auto"/>
          <w:lang w:val="en-US" w:eastAsia="zh-CN"/>
        </w:rPr>
        <w:t>年</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2</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月</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4</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日，你</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公司</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收到</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《行政处罚事先(听证)告知书》(豫0773环罚告字〔2026〕4号)后</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w:t>
      </w:r>
      <w:r>
        <w:rPr>
          <w:rFonts w:hint="eastAsia" w:ascii="仿宋_GB2312" w:hAnsi="仿宋_GB2312" w:eastAsia="仿宋_GB2312" w:cs="仿宋_GB2312"/>
          <w:spacing w:val="8"/>
          <w:sz w:val="32"/>
          <w:szCs w:val="32"/>
          <w:u w:val="none" w:color="auto"/>
        </w:rPr>
        <w:t>在法定期限内未申请听证，未提出陈述申辩</w:t>
      </w:r>
      <w:r>
        <w:rPr>
          <w:rFonts w:ascii="宋体" w:hAnsi="宋体" w:eastAsia="宋体" w:cs="宋体"/>
          <w:sz w:val="24"/>
          <w:szCs w:val="24"/>
        </w:rPr>
        <w:t>。</w:t>
      </w:r>
    </w:p>
    <w:p w14:paraId="4FF2D35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699" w:firstLineChars="200"/>
        <w:jc w:val="both"/>
        <w:textAlignment w:val="baseline"/>
        <w:rPr>
          <w:rFonts w:hint="eastAsia" w:ascii="仿宋_GB2312" w:hAnsi="仿宋_GB2312" w:eastAsia="仿宋_GB2312" w:cs="仿宋_GB2312"/>
          <w:b/>
          <w:bCs/>
          <w:sz w:val="32"/>
          <w:szCs w:val="32"/>
          <w:u w:val="none" w:color="auto"/>
        </w:rPr>
      </w:pPr>
      <w:r>
        <w:rPr>
          <w:rFonts w:hint="eastAsia" w:ascii="仿宋_GB2312" w:hAnsi="仿宋_GB2312" w:eastAsia="仿宋_GB2312" w:cs="仿宋_GB2312"/>
          <w:b/>
          <w:bCs/>
          <w:spacing w:val="14"/>
          <w:position w:val="1"/>
          <w:sz w:val="32"/>
          <w:szCs w:val="32"/>
          <w:u w:val="none" w:color="auto"/>
        </w:rPr>
        <w:t>二</w:t>
      </w:r>
      <w:r>
        <w:rPr>
          <w:rFonts w:hint="eastAsia" w:ascii="仿宋_GB2312" w:hAnsi="仿宋_GB2312" w:eastAsia="仿宋_GB2312" w:cs="仿宋_GB2312"/>
          <w:b/>
          <w:bCs/>
          <w:spacing w:val="8"/>
          <w:position w:val="1"/>
          <w:sz w:val="32"/>
          <w:szCs w:val="32"/>
          <w:u w:val="none" w:color="auto"/>
        </w:rPr>
        <w:t>、行政处罚的依据、种类</w:t>
      </w:r>
    </w:p>
    <w:p w14:paraId="63D9811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上述行为违反了《新乡市大气污染防治条例》第十二条第三款“纳入重污染天气应急预案的企业事业单位应当按照要求编制重污染天气应急操作方案，报生态环境主管部门备案，并按照规定执行相应的应急减排措施”的规定。</w:t>
      </w:r>
    </w:p>
    <w:p w14:paraId="2C7EA47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napToGrid w:val="0"/>
          <w:color w:val="000000"/>
          <w:spacing w:val="7"/>
          <w:kern w:val="0"/>
          <w:sz w:val="32"/>
          <w:szCs w:val="32"/>
          <w:u w:val="none"/>
          <w:lang w:val="en-US" w:eastAsia="zh-CN"/>
        </w:rPr>
      </w:pPr>
      <w:r>
        <w:rPr>
          <w:rFonts w:hint="eastAsia" w:ascii="仿宋_GB2312" w:hAnsi="仿宋_GB2312" w:eastAsia="仿宋_GB2312" w:cs="仿宋_GB2312"/>
          <w:spacing w:val="-4"/>
          <w:sz w:val="32"/>
          <w:szCs w:val="32"/>
          <w:u w:val="none" w:color="auto"/>
          <w:lang w:val="en-US" w:eastAsia="zh-CN"/>
        </w:rPr>
        <w:t>依据《新乡市大气污染防治条例》第三十三条“违反本条例第十二条规定，拒不执行停产或者限产措施的，由生态环境主管部门处以二万元以上二十万元以下罚款；拒不执行停止工地土石方作业或者建筑物拆除施工的，由住房城乡建设、交通运输、城市管理、水利等部门依据各自职责处以一万元以上十万元以下罚款；拒不执行机动车管控措施的，由公安机关交通管理部门依照有关规定予以处罚”的规定。</w:t>
      </w:r>
    </w:p>
    <w:p w14:paraId="645D5409">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44" w:firstLineChars="200"/>
        <w:textAlignment w:val="baseline"/>
        <w:rPr>
          <w:rFonts w:hint="eastAsia" w:ascii="仿宋_GB2312" w:hAnsi="仿宋_GB2312" w:eastAsia="仿宋_GB2312" w:cs="仿宋_GB2312"/>
          <w:snapToGrid w:val="0"/>
          <w:color w:val="000000"/>
          <w:spacing w:val="1"/>
          <w:kern w:val="0"/>
          <w:sz w:val="32"/>
          <w:szCs w:val="32"/>
          <w:u w:val="none" w:color="auto"/>
          <w:lang w:val="en-US" w:eastAsia="zh-CN"/>
        </w:rPr>
      </w:pPr>
      <w:r>
        <w:rPr>
          <w:rFonts w:hint="eastAsia" w:ascii="仿宋_GB2312" w:hAnsi="仿宋_GB2312" w:eastAsia="仿宋_GB2312" w:cs="仿宋_GB2312"/>
          <w:snapToGrid w:val="0"/>
          <w:color w:val="000000"/>
          <w:spacing w:val="1"/>
          <w:kern w:val="0"/>
          <w:sz w:val="32"/>
          <w:szCs w:val="32"/>
          <w:u w:val="none" w:color="auto"/>
          <w:lang w:val="en-US" w:eastAsia="zh-CN"/>
        </w:rPr>
        <w:t>根据该公司违法行为的事实、性质、情节、社会危害程度和相关证据，参照《新乡市大气污染防治条例行政处罚裁量基准》（修订）：结合当事人违法行为，逐条列出裁量因素、裁量因素内容和对应裁量等级。</w:t>
      </w:r>
    </w:p>
    <w:p w14:paraId="22333C2E">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1：管控措施类别：红色预警管控，裁量等级：5；</w:t>
      </w:r>
    </w:p>
    <w:p w14:paraId="46A1E310">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2：污染防治设施建设使用及排污情况：正常运行，大气污染物完全处理后排放，裁量等级：1；</w:t>
      </w:r>
    </w:p>
    <w:p w14:paraId="7C56EE75">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3：违法次数：</w:t>
      </w:r>
      <w:r>
        <w:rPr>
          <w:rFonts w:hint="eastAsia" w:ascii="Times New Roman" w:hAnsi="Times New Roman" w:eastAsia="仿宋_GB2312" w:cs="Times New Roman"/>
          <w:spacing w:val="-7"/>
          <w:sz w:val="32"/>
          <w:szCs w:val="32"/>
          <w:u w:val="none" w:color="auto"/>
          <w:lang w:val="en-US" w:eastAsia="zh-CN"/>
        </w:rPr>
        <w:t>2</w:t>
      </w:r>
      <w:r>
        <w:rPr>
          <w:rFonts w:hint="eastAsia" w:ascii="仿宋_GB2312" w:hAnsi="仿宋_GB2312" w:eastAsia="仿宋_GB2312" w:cs="仿宋_GB2312"/>
          <w:snapToGrid w:val="0"/>
          <w:color w:val="000000"/>
          <w:kern w:val="0"/>
          <w:sz w:val="32"/>
          <w:szCs w:val="32"/>
          <w:u w:val="none" w:color="auto"/>
          <w:lang w:val="en-US" w:eastAsia="zh-CN"/>
        </w:rPr>
        <w:t>年内同类违法行为第</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次，裁量等级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56521CA7">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4：企业规模：小型企业，裁量等级：2；</w:t>
      </w:r>
    </w:p>
    <w:p w14:paraId="030CC310">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5：管理类别：简化管理，裁量等级：2；</w:t>
      </w:r>
    </w:p>
    <w:p w14:paraId="4BAB71AC">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6：配合执法检查情形：配合检查，裁量等级：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1AF56AE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法定处罚金额上限(M)：</w:t>
      </w:r>
      <w:r>
        <w:rPr>
          <w:rFonts w:hint="eastAsia" w:ascii="Times New Roman" w:hAnsi="Times New Roman" w:eastAsia="仿宋_GB2312" w:cs="Times New Roman"/>
          <w:spacing w:val="-7"/>
          <w:sz w:val="32"/>
          <w:szCs w:val="32"/>
          <w:u w:val="none" w:color="auto"/>
          <w:lang w:val="en-US" w:eastAsia="zh-CN"/>
        </w:rPr>
        <w:t>200000</w:t>
      </w:r>
      <w:r>
        <w:rPr>
          <w:rFonts w:hint="eastAsia" w:ascii="仿宋_GB2312" w:hAnsi="仿宋_GB2312" w:eastAsia="仿宋_GB2312" w:cs="仿宋_GB2312"/>
          <w:spacing w:val="-7"/>
          <w:sz w:val="32"/>
          <w:szCs w:val="32"/>
          <w:u w:val="none" w:color="auto"/>
          <w:lang w:val="en-US" w:eastAsia="zh-CN"/>
        </w:rPr>
        <w:t>，法定处罚金额下限(N)：</w:t>
      </w:r>
      <w:r>
        <w:rPr>
          <w:rFonts w:hint="eastAsia" w:ascii="Times New Roman" w:hAnsi="Times New Roman" w:eastAsia="仿宋_GB2312" w:cs="Times New Roman"/>
          <w:spacing w:val="-7"/>
          <w:sz w:val="32"/>
          <w:szCs w:val="32"/>
          <w:u w:val="none" w:color="auto"/>
          <w:lang w:val="en-US" w:eastAsia="zh-CN"/>
        </w:rPr>
        <w:t>20000</w:t>
      </w:r>
      <w:r>
        <w:rPr>
          <w:rFonts w:hint="eastAsia" w:ascii="仿宋_GB2312" w:hAnsi="仿宋_GB2312" w:eastAsia="仿宋_GB2312" w:cs="仿宋_GB2312"/>
          <w:spacing w:val="-7"/>
          <w:sz w:val="32"/>
          <w:szCs w:val="32"/>
          <w:u w:val="none" w:color="auto"/>
          <w:lang w:val="en-US" w:eastAsia="zh-CN"/>
        </w:rPr>
        <w:t>，首要裁量因素裁量等级(A)：5，其余裁量因素个数(n)：</w:t>
      </w:r>
      <w:r>
        <w:rPr>
          <w:rFonts w:hint="eastAsia" w:ascii="Times New Roman" w:hAnsi="Times New Roman" w:eastAsia="仿宋_GB2312" w:cs="Times New Roman"/>
          <w:spacing w:val="-7"/>
          <w:sz w:val="32"/>
          <w:szCs w:val="32"/>
          <w:u w:val="none" w:color="auto"/>
          <w:lang w:val="en-US" w:eastAsia="zh-CN"/>
        </w:rPr>
        <w:t>5</w:t>
      </w:r>
      <w:r>
        <w:rPr>
          <w:rFonts w:hint="eastAsia" w:ascii="仿宋_GB2312" w:hAnsi="仿宋_GB2312" w:eastAsia="仿宋_GB2312" w:cs="仿宋_GB2312"/>
          <w:spacing w:val="-7"/>
          <w:sz w:val="32"/>
          <w:szCs w:val="32"/>
          <w:u w:val="none" w:color="auto"/>
          <w:lang w:val="en-US" w:eastAsia="zh-CN"/>
        </w:rPr>
        <w:t>，其余裁量因素裁量等级(Bi)：[</w:t>
      </w:r>
      <w:r>
        <w:rPr>
          <w:rFonts w:hint="eastAsia" w:ascii="Times New Roman" w:hAnsi="Times New Roman" w:eastAsia="仿宋_GB2312" w:cs="Times New Roman"/>
          <w:spacing w:val="-7"/>
          <w:sz w:val="32"/>
          <w:szCs w:val="32"/>
          <w:u w:val="none" w:color="auto"/>
          <w:lang w:val="en-US" w:eastAsia="zh-CN"/>
        </w:rPr>
        <w:t>1,1,2,2,1</w:t>
      </w:r>
      <w:r>
        <w:rPr>
          <w:rFonts w:hint="eastAsia" w:ascii="仿宋_GB2312" w:hAnsi="仿宋_GB2312" w:eastAsia="仿宋_GB2312" w:cs="仿宋_GB2312"/>
          <w:spacing w:val="-7"/>
          <w:sz w:val="32"/>
          <w:szCs w:val="32"/>
          <w:u w:val="none" w:color="auto"/>
          <w:lang w:val="en-US" w:eastAsia="zh-CN"/>
        </w:rPr>
        <w:t>],处罚金额(X)：</w:t>
      </w:r>
      <w:r>
        <w:rPr>
          <w:rFonts w:hint="eastAsia" w:ascii="Times New Roman" w:hAnsi="Times New Roman" w:eastAsia="仿宋_GB2312" w:cs="Times New Roman"/>
          <w:spacing w:val="-7"/>
          <w:sz w:val="32"/>
          <w:szCs w:val="32"/>
          <w:u w:val="none" w:color="auto"/>
          <w:lang w:val="en-US" w:eastAsia="zh-CN"/>
        </w:rPr>
        <w:t>117920</w:t>
      </w:r>
      <w:r>
        <w:rPr>
          <w:rFonts w:hint="eastAsia" w:ascii="仿宋_GB2312" w:hAnsi="仿宋_GB2312" w:eastAsia="仿宋_GB2312" w:cs="仿宋_GB2312"/>
          <w:spacing w:val="-7"/>
          <w:sz w:val="32"/>
          <w:szCs w:val="32"/>
          <w:u w:val="none" w:color="auto"/>
          <w:lang w:val="en-US" w:eastAsia="zh-CN"/>
        </w:rPr>
        <w:t>,代入公式：</w:t>
      </w:r>
      <w:r>
        <w:rPr>
          <w:rFonts w:hint="eastAsia" w:ascii="Times New Roman" w:hAnsi="Times New Roman" w:eastAsia="仿宋_GB2312" w:cs="Times New Roman"/>
          <w:spacing w:val="-7"/>
          <w:sz w:val="32"/>
          <w:szCs w:val="32"/>
          <w:u w:val="none" w:color="auto"/>
          <w:lang w:val="en-US" w:eastAsia="zh-CN"/>
        </w:rPr>
        <w:t>117920</w:t>
      </w:r>
      <w:r>
        <w:rPr>
          <w:rFonts w:hint="default" w:ascii="Times New Roman" w:hAnsi="Times New Roman" w:eastAsia="仿宋_GB2312" w:cs="Times New Roman"/>
          <w:spacing w:val="-7"/>
          <w:sz w:val="32"/>
          <w:szCs w:val="32"/>
          <w:u w:val="none" w:color="auto"/>
          <w:lang w:val="en-US" w:eastAsia="zh-CN"/>
        </w:rPr>
        <w:t>=20000+(200000-20000)x[（</w:t>
      </w:r>
      <w:r>
        <w:rPr>
          <w:rFonts w:hint="eastAsia"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2</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2</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x5)]x50%，</w:t>
      </w:r>
      <w:r>
        <w:rPr>
          <w:rFonts w:hint="eastAsia" w:ascii="仿宋_GB2312" w:hAnsi="仿宋_GB2312" w:eastAsia="仿宋_GB2312" w:cs="仿宋_GB2312"/>
          <w:spacing w:val="-7"/>
          <w:sz w:val="32"/>
          <w:szCs w:val="32"/>
          <w:u w:val="none" w:color="auto"/>
          <w:lang w:val="en-US" w:eastAsia="zh-CN"/>
        </w:rPr>
        <w:t>自定义裁量计算值：</w:t>
      </w:r>
      <w:r>
        <w:rPr>
          <w:rFonts w:hint="eastAsia" w:ascii="Times New Roman" w:hAnsi="Times New Roman" w:eastAsia="仿宋_GB2312" w:cs="Times New Roman"/>
          <w:spacing w:val="-7"/>
          <w:sz w:val="32"/>
          <w:szCs w:val="32"/>
          <w:u w:val="none" w:color="auto"/>
          <w:lang w:val="en-US" w:eastAsia="zh-CN"/>
        </w:rPr>
        <w:t>0</w:t>
      </w:r>
      <w:r>
        <w:rPr>
          <w:rFonts w:hint="eastAsia" w:ascii="仿宋_GB2312" w:hAnsi="仿宋_GB2312" w:eastAsia="仿宋_GB2312" w:cs="仿宋_GB2312"/>
          <w:spacing w:val="-7"/>
          <w:sz w:val="32"/>
          <w:szCs w:val="32"/>
          <w:u w:val="none" w:color="auto"/>
          <w:lang w:val="en-US" w:eastAsia="zh-CN"/>
        </w:rPr>
        <w:t>，根据裁量公式，最终裁量金额：</w:t>
      </w:r>
      <w:r>
        <w:rPr>
          <w:rFonts w:hint="eastAsia" w:ascii="Times New Roman" w:hAnsi="Times New Roman" w:eastAsia="仿宋_GB2312" w:cs="Times New Roman"/>
          <w:spacing w:val="-7"/>
          <w:sz w:val="32"/>
          <w:szCs w:val="32"/>
          <w:u w:val="none" w:color="auto"/>
          <w:lang w:val="en-US" w:eastAsia="zh-CN"/>
        </w:rPr>
        <w:t>117920</w:t>
      </w:r>
      <w:r>
        <w:rPr>
          <w:rFonts w:hint="eastAsia" w:ascii="仿宋_GB2312" w:hAnsi="仿宋_GB2312" w:eastAsia="仿宋_GB2312" w:cs="仿宋_GB2312"/>
          <w:spacing w:val="-7"/>
          <w:sz w:val="32"/>
          <w:szCs w:val="32"/>
          <w:u w:val="none" w:color="auto"/>
          <w:lang w:val="en-US" w:eastAsia="zh-CN"/>
        </w:rPr>
        <w:t xml:space="preserve">元整。  </w:t>
      </w:r>
    </w:p>
    <w:p w14:paraId="0663C71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default" w:ascii="仿宋_GB2312" w:hAnsi="仿宋_GB2312" w:eastAsia="仿宋_GB2312" w:cs="仿宋_GB2312"/>
          <w:spacing w:val="-7"/>
          <w:sz w:val="32"/>
          <w:szCs w:val="32"/>
          <w:u w:val="none" w:color="auto"/>
          <w:lang w:val="en-US" w:eastAsia="zh-CN"/>
        </w:rPr>
      </w:pPr>
      <w:r>
        <w:rPr>
          <w:rFonts w:hint="default" w:ascii="仿宋_GB2312" w:hAnsi="仿宋_GB2312" w:eastAsia="仿宋_GB2312" w:cs="仿宋_GB2312"/>
          <w:spacing w:val="-7"/>
          <w:sz w:val="32"/>
          <w:szCs w:val="32"/>
          <w:u w:val="none" w:color="auto"/>
          <w:lang w:val="en-US" w:eastAsia="zh-CN"/>
        </w:rPr>
        <w:t>经研究，我局对</w:t>
      </w:r>
      <w:r>
        <w:rPr>
          <w:rFonts w:hint="eastAsia" w:ascii="仿宋_GB2312" w:hAnsi="仿宋_GB2312" w:eastAsia="仿宋_GB2312" w:cs="仿宋_GB2312"/>
          <w:spacing w:val="-7"/>
          <w:sz w:val="32"/>
          <w:szCs w:val="32"/>
          <w:u w:val="none" w:color="auto"/>
          <w:lang w:val="en-US" w:eastAsia="zh-CN"/>
        </w:rPr>
        <w:t>你公司拒不执行停产或者限产措施的违法行为作出</w:t>
      </w:r>
      <w:r>
        <w:rPr>
          <w:rFonts w:hint="default" w:ascii="仿宋_GB2312" w:hAnsi="仿宋_GB2312" w:eastAsia="仿宋_GB2312" w:cs="仿宋_GB2312"/>
          <w:spacing w:val="-7"/>
          <w:sz w:val="32"/>
          <w:szCs w:val="32"/>
          <w:u w:val="none" w:color="auto"/>
          <w:lang w:val="en-US" w:eastAsia="zh-CN"/>
        </w:rPr>
        <w:t>以下行政处罚决定：</w:t>
      </w:r>
    </w:p>
    <w:p w14:paraId="03A02617">
      <w:pPr>
        <w:keepNext w:val="0"/>
        <w:keepLines w:val="0"/>
        <w:pageBreakBefore w:val="0"/>
        <w:widowControl/>
        <w:numPr>
          <w:ilvl w:val="0"/>
          <w:numId w:val="0"/>
        </w:numPr>
        <w:wordWrap/>
        <w:overflowPunct/>
        <w:topLinePunct w:val="0"/>
        <w:bidi w:val="0"/>
        <w:adjustRightInd w:val="0"/>
        <w:snapToGrid w:val="0"/>
        <w:spacing w:line="560" w:lineRule="exact"/>
        <w:ind w:leftChars="0" w:right="0" w:rightChars="0" w:firstLine="664" w:firstLineChars="200"/>
        <w:jc w:val="both"/>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6"/>
          <w:sz w:val="32"/>
          <w:szCs w:val="32"/>
          <w:u w:val="none"/>
          <w:lang w:val="en-US" w:eastAsia="zh-CN"/>
        </w:rPr>
        <w:t>给予罚款人民币壹拾壹万柒仟玖佰贰拾元整</w:t>
      </w:r>
      <w:r>
        <w:rPr>
          <w:rFonts w:hint="eastAsia" w:ascii="仿宋_GB2312" w:hAnsi="仿宋_GB2312" w:eastAsia="仿宋_GB2312" w:cs="仿宋_GB2312"/>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117920</w:t>
      </w:r>
      <w:r>
        <w:rPr>
          <w:rFonts w:hint="eastAsia" w:ascii="仿宋_GB2312" w:hAnsi="仿宋_GB2312" w:eastAsia="仿宋_GB2312" w:cs="仿宋_GB2312"/>
          <w:spacing w:val="-7"/>
          <w:sz w:val="32"/>
          <w:szCs w:val="32"/>
          <w:u w:val="none" w:color="auto"/>
          <w:lang w:val="en-US" w:eastAsia="zh-CN"/>
        </w:rPr>
        <w:t>元）的行政处罚。</w:t>
      </w:r>
    </w:p>
    <w:p w14:paraId="747FB5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6"/>
          <w:position w:val="1"/>
          <w:sz w:val="32"/>
          <w:szCs w:val="32"/>
        </w:rPr>
        <w:t>三</w:t>
      </w:r>
      <w:r>
        <w:rPr>
          <w:rFonts w:hint="eastAsia" w:ascii="仿宋_GB2312" w:hAnsi="仿宋_GB2312" w:eastAsia="仿宋_GB2312" w:cs="仿宋_GB2312"/>
          <w:b/>
          <w:bCs/>
          <w:spacing w:val="9"/>
          <w:position w:val="1"/>
          <w:sz w:val="32"/>
          <w:szCs w:val="32"/>
        </w:rPr>
        <w:t>、</w:t>
      </w:r>
      <w:r>
        <w:rPr>
          <w:rFonts w:hint="eastAsia" w:ascii="仿宋_GB2312" w:hAnsi="仿宋_GB2312" w:eastAsia="仿宋_GB2312" w:cs="仿宋_GB2312"/>
          <w:b/>
          <w:bCs/>
          <w:spacing w:val="8"/>
          <w:position w:val="1"/>
          <w:sz w:val="32"/>
          <w:szCs w:val="32"/>
        </w:rPr>
        <w:t>行政处罚决定的履行方式和期限</w:t>
      </w:r>
    </w:p>
    <w:p w14:paraId="51657F60">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spacing w:val="8"/>
          <w:sz w:val="32"/>
          <w:szCs w:val="32"/>
        </w:rPr>
        <w:t>根据《中</w:t>
      </w:r>
      <w:r>
        <w:rPr>
          <w:rFonts w:hint="eastAsia" w:ascii="仿宋_GB2312" w:hAnsi="仿宋_GB2312" w:eastAsia="仿宋_GB2312" w:cs="仿宋_GB2312"/>
          <w:spacing w:val="6"/>
          <w:sz w:val="32"/>
          <w:szCs w:val="32"/>
        </w:rPr>
        <w:t>华</w:t>
      </w:r>
      <w:r>
        <w:rPr>
          <w:rFonts w:hint="eastAsia" w:ascii="仿宋_GB2312" w:hAnsi="仿宋_GB2312" w:eastAsia="仿宋_GB2312" w:cs="仿宋_GB2312"/>
          <w:spacing w:val="4"/>
          <w:sz w:val="32"/>
          <w:szCs w:val="32"/>
        </w:rPr>
        <w:t>人民共和国行政处罚法》和《罚款决定与罚款收</w:t>
      </w:r>
      <w:r>
        <w:rPr>
          <w:rFonts w:hint="eastAsia" w:ascii="仿宋_GB2312" w:hAnsi="仿宋_GB2312" w:eastAsia="仿宋_GB2312" w:cs="仿宋_GB2312"/>
          <w:spacing w:val="12"/>
          <w:sz w:val="32"/>
          <w:szCs w:val="32"/>
        </w:rPr>
        <w:t>缴分</w:t>
      </w:r>
      <w:r>
        <w:rPr>
          <w:rFonts w:hint="eastAsia" w:ascii="仿宋_GB2312" w:hAnsi="仿宋_GB2312" w:eastAsia="仿宋_GB2312" w:cs="仿宋_GB2312"/>
          <w:spacing w:val="8"/>
          <w:sz w:val="32"/>
          <w:szCs w:val="32"/>
        </w:rPr>
        <w:t>离</w:t>
      </w:r>
      <w:r>
        <w:rPr>
          <w:rFonts w:hint="eastAsia" w:ascii="仿宋_GB2312" w:hAnsi="仿宋_GB2312" w:eastAsia="仿宋_GB2312" w:cs="仿宋_GB2312"/>
          <w:spacing w:val="6"/>
          <w:sz w:val="32"/>
          <w:szCs w:val="32"/>
        </w:rPr>
        <w:t>实施办法》的规定，你</w:t>
      </w:r>
      <w:r>
        <w:rPr>
          <w:rFonts w:hint="eastAsia" w:ascii="仿宋_GB2312" w:hAnsi="仿宋_GB2312" w:eastAsia="仿宋_GB2312" w:cs="仿宋_GB2312"/>
          <w:spacing w:val="6"/>
          <w:sz w:val="32"/>
          <w:szCs w:val="32"/>
          <w:lang w:val="en-US" w:eastAsia="zh-CN"/>
        </w:rPr>
        <w:t>公司</w:t>
      </w:r>
      <w:r>
        <w:rPr>
          <w:rFonts w:hint="eastAsia" w:ascii="仿宋_GB2312" w:hAnsi="仿宋_GB2312" w:eastAsia="仿宋_GB2312" w:cs="仿宋_GB2312"/>
          <w:spacing w:val="6"/>
          <w:sz w:val="32"/>
          <w:szCs w:val="32"/>
        </w:rPr>
        <w:t>应当自收到本处罚决定书</w:t>
      </w:r>
      <w:r>
        <w:rPr>
          <w:rFonts w:hint="eastAsia" w:ascii="仿宋_GB2312" w:hAnsi="仿宋_GB2312" w:eastAsia="仿宋_GB2312" w:cs="仿宋_GB2312"/>
          <w:spacing w:val="-6"/>
          <w:sz w:val="32"/>
          <w:szCs w:val="32"/>
        </w:rPr>
        <w:t>之日起</w:t>
      </w:r>
      <w:r>
        <w:rPr>
          <w:rFonts w:hint="eastAsia" w:ascii="仿宋_GB2312" w:hAnsi="仿宋_GB2312" w:eastAsia="仿宋_GB2312" w:cs="仿宋_GB2312"/>
          <w:spacing w:val="-4"/>
          <w:sz w:val="32"/>
          <w:szCs w:val="32"/>
        </w:rPr>
        <w:t>1</w:t>
      </w:r>
      <w:r>
        <w:rPr>
          <w:rFonts w:hint="eastAsia" w:ascii="仿宋_GB2312" w:hAnsi="仿宋_GB2312" w:eastAsia="仿宋_GB2312" w:cs="仿宋_GB2312"/>
          <w:spacing w:val="-3"/>
          <w:sz w:val="32"/>
          <w:szCs w:val="32"/>
        </w:rPr>
        <w:t>5</w:t>
      </w:r>
      <w:r>
        <w:rPr>
          <w:rFonts w:hint="eastAsia" w:ascii="仿宋_GB2312" w:hAnsi="仿宋_GB2312" w:eastAsia="仿宋_GB2312" w:cs="仿宋_GB2312"/>
          <w:spacing w:val="8"/>
          <w:sz w:val="32"/>
          <w:szCs w:val="32"/>
        </w:rPr>
        <w:t>日内将罚款缴</w:t>
      </w:r>
      <w:r>
        <w:rPr>
          <w:rFonts w:hint="eastAsia" w:ascii="仿宋_GB2312" w:hAnsi="仿宋_GB2312" w:eastAsia="仿宋_GB2312" w:cs="仿宋_GB2312"/>
          <w:spacing w:val="8"/>
          <w:sz w:val="32"/>
          <w:szCs w:val="32"/>
          <w:lang w:val="en-US" w:eastAsia="zh-CN"/>
        </w:rPr>
        <w:t>至</w:t>
      </w:r>
      <w:r>
        <w:rPr>
          <w:rFonts w:hint="eastAsia" w:ascii="仿宋_GB2312" w:hAnsi="仿宋_GB2312" w:eastAsia="仿宋_GB2312" w:cs="仿宋_GB2312"/>
          <w:spacing w:val="8"/>
          <w:sz w:val="32"/>
          <w:szCs w:val="32"/>
          <w:lang w:eastAsia="zh-CN"/>
        </w:rPr>
        <w:t>新乡市平原新区管委会财政局非税收入财政账户（收款人名称：新乡市平原示范区管委会财政局，账号：41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01552710</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59369369-1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03，开户行：建行新乡中原农谷支行）。</w:t>
      </w:r>
      <w:r>
        <w:rPr>
          <w:rFonts w:hint="eastAsia" w:ascii="仿宋_GB2312" w:hAnsi="仿宋_GB2312" w:eastAsia="仿宋_GB2312" w:cs="仿宋_GB2312"/>
          <w:spacing w:val="8"/>
          <w:sz w:val="32"/>
          <w:szCs w:val="32"/>
        </w:rPr>
        <w:t>或者通过电子</w:t>
      </w:r>
      <w:r>
        <w:rPr>
          <w:rFonts w:hint="eastAsia" w:ascii="仿宋_GB2312" w:hAnsi="仿宋_GB2312" w:eastAsia="仿宋_GB2312" w:cs="仿宋_GB2312"/>
          <w:spacing w:val="1"/>
          <w:sz w:val="32"/>
          <w:szCs w:val="32"/>
        </w:rPr>
        <w:t>支付系统缴纳罚款。款</w:t>
      </w:r>
      <w:r>
        <w:rPr>
          <w:rFonts w:hint="eastAsia" w:ascii="仿宋_GB2312" w:hAnsi="仿宋_GB2312" w:eastAsia="仿宋_GB2312" w:cs="仿宋_GB2312"/>
          <w:spacing w:val="32"/>
          <w:sz w:val="32"/>
          <w:szCs w:val="32"/>
        </w:rPr>
        <w:t>项</w:t>
      </w:r>
      <w:r>
        <w:rPr>
          <w:rFonts w:hint="eastAsia" w:ascii="仿宋_GB2312" w:hAnsi="仿宋_GB2312" w:eastAsia="仿宋_GB2312" w:cs="仿宋_GB2312"/>
          <w:spacing w:val="17"/>
          <w:sz w:val="32"/>
          <w:szCs w:val="32"/>
        </w:rPr>
        <w:t>缴</w:t>
      </w:r>
      <w:r>
        <w:rPr>
          <w:rFonts w:hint="eastAsia" w:ascii="仿宋_GB2312" w:hAnsi="仿宋_GB2312" w:eastAsia="仿宋_GB2312" w:cs="仿宋_GB2312"/>
          <w:spacing w:val="16"/>
          <w:sz w:val="32"/>
          <w:szCs w:val="32"/>
        </w:rPr>
        <w:t>清后</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请持银行受理回单到我局</w:t>
      </w:r>
      <w:r>
        <w:rPr>
          <w:rFonts w:hint="eastAsia" w:ascii="仿宋_GB2312" w:hAnsi="仿宋_GB2312" w:eastAsia="仿宋_GB2312" w:cs="仿宋_GB2312"/>
          <w:spacing w:val="16"/>
          <w:sz w:val="32"/>
          <w:szCs w:val="32"/>
          <w:lang w:val="en-US" w:eastAsia="zh-CN"/>
        </w:rPr>
        <w:t>213办公室</w:t>
      </w:r>
      <w:r>
        <w:rPr>
          <w:rFonts w:hint="eastAsia" w:ascii="仿宋_GB2312" w:hAnsi="仿宋_GB2312" w:eastAsia="仿宋_GB2312" w:cs="仿宋_GB2312"/>
          <w:spacing w:val="16"/>
          <w:sz w:val="32"/>
          <w:szCs w:val="32"/>
        </w:rPr>
        <w:t>处索取罚款收</w:t>
      </w:r>
      <w:r>
        <w:rPr>
          <w:rFonts w:hint="eastAsia" w:ascii="仿宋_GB2312" w:hAnsi="仿宋_GB2312" w:eastAsia="仿宋_GB2312" w:cs="仿宋_GB2312"/>
          <w:spacing w:val="47"/>
          <w:sz w:val="32"/>
          <w:szCs w:val="32"/>
        </w:rPr>
        <w:t>据</w:t>
      </w:r>
      <w:r>
        <w:rPr>
          <w:rFonts w:hint="eastAsia" w:ascii="仿宋_GB2312" w:hAnsi="仿宋_GB2312" w:eastAsia="仿宋_GB2312" w:cs="仿宋_GB2312"/>
          <w:spacing w:val="26"/>
          <w:sz w:val="32"/>
          <w:szCs w:val="32"/>
        </w:rPr>
        <w:t>，并将缴款凭据 报送我</w:t>
      </w:r>
      <w:r>
        <w:rPr>
          <w:rFonts w:hint="eastAsia" w:ascii="仿宋_GB2312" w:hAnsi="仿宋_GB2312" w:eastAsia="仿宋_GB2312" w:cs="仿宋_GB2312"/>
          <w:spacing w:val="16"/>
          <w:sz w:val="32"/>
          <w:szCs w:val="32"/>
          <w:lang w:val="en-US" w:eastAsia="zh-CN"/>
        </w:rPr>
        <w:t>局213房</w:t>
      </w:r>
      <w:r>
        <w:rPr>
          <w:rFonts w:hint="eastAsia" w:ascii="仿宋_GB2312" w:hAnsi="仿宋_GB2312" w:eastAsia="仿宋_GB2312" w:cs="仿宋_GB2312"/>
          <w:spacing w:val="26"/>
          <w:sz w:val="32"/>
          <w:szCs w:val="32"/>
        </w:rPr>
        <w:t>间</w:t>
      </w:r>
      <w:r>
        <w:rPr>
          <w:rFonts w:hint="eastAsia" w:ascii="仿宋_GB2312" w:hAnsi="仿宋_GB2312" w:eastAsia="仿宋_GB2312" w:cs="仿宋_GB2312"/>
          <w:spacing w:val="6"/>
          <w:sz w:val="32"/>
          <w:szCs w:val="32"/>
        </w:rPr>
        <w:t>备</w:t>
      </w:r>
      <w:r>
        <w:rPr>
          <w:rFonts w:hint="eastAsia" w:ascii="仿宋_GB2312" w:hAnsi="仿宋_GB2312" w:eastAsia="仿宋_GB2312" w:cs="仿宋_GB2312"/>
          <w:spacing w:val="5"/>
          <w:sz w:val="32"/>
          <w:szCs w:val="32"/>
        </w:rPr>
        <w:t>案。</w:t>
      </w:r>
    </w:p>
    <w:p w14:paraId="310DDF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b/>
          <w:bCs/>
          <w:spacing w:val="16"/>
          <w:position w:val="1"/>
          <w:sz w:val="32"/>
          <w:szCs w:val="32"/>
        </w:rPr>
        <w:t>四、申请行政复议或提起行政诉讼的途径和期限</w:t>
      </w:r>
    </w:p>
    <w:p w14:paraId="550A739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你</w:t>
      </w:r>
      <w:r>
        <w:rPr>
          <w:rFonts w:hint="eastAsia" w:ascii="仿宋_GB2312" w:hAnsi="仿宋_GB2312" w:eastAsia="仿宋_GB2312" w:cs="仿宋_GB2312"/>
          <w:spacing w:val="8"/>
          <w:sz w:val="32"/>
          <w:szCs w:val="32"/>
          <w:lang w:val="en-US" w:eastAsia="zh-CN"/>
        </w:rPr>
        <w:t>公司</w:t>
      </w:r>
      <w:r>
        <w:rPr>
          <w:rFonts w:hint="eastAsia" w:ascii="仿宋_GB2312" w:hAnsi="仿宋_GB2312" w:eastAsia="仿宋_GB2312" w:cs="仿宋_GB2312"/>
          <w:spacing w:val="8"/>
          <w:sz w:val="32"/>
          <w:szCs w:val="32"/>
          <w:lang w:eastAsia="zh-CN"/>
        </w:rPr>
        <w:t>如不服本处罚决定，可以在收到本处罚决定书之日起六十日内向</w:t>
      </w:r>
      <w:r>
        <w:rPr>
          <w:rFonts w:hint="eastAsia" w:ascii="仿宋_GB2312" w:hAnsi="仿宋_GB2312" w:eastAsia="仿宋_GB2312" w:cs="仿宋_GB2312"/>
          <w:spacing w:val="3"/>
          <w:sz w:val="32"/>
          <w:szCs w:val="32"/>
          <w:lang w:val="en-US" w:eastAsia="zh-CN"/>
        </w:rPr>
        <w:t>新乡市平原城乡一体化示范区管理委员会</w:t>
      </w:r>
      <w:r>
        <w:rPr>
          <w:rFonts w:hint="eastAsia" w:ascii="仿宋_GB2312" w:hAnsi="仿宋_GB2312" w:eastAsia="仿宋_GB2312" w:cs="仿宋_GB2312"/>
          <w:spacing w:val="8"/>
          <w:sz w:val="32"/>
          <w:szCs w:val="32"/>
          <w:lang w:eastAsia="zh-CN"/>
        </w:rPr>
        <w:t>申请行政复议，也可以在收到本处罚决定书之日起六个月内向</w:t>
      </w:r>
      <w:r>
        <w:rPr>
          <w:rFonts w:hint="eastAsia" w:ascii="仿宋_GB2312" w:hAnsi="仿宋_GB2312" w:eastAsia="仿宋_GB2312" w:cs="仿宋_GB2312"/>
          <w:spacing w:val="12"/>
          <w:sz w:val="32"/>
          <w:szCs w:val="32"/>
          <w:lang w:val="en-US" w:eastAsia="zh-CN"/>
        </w:rPr>
        <w:t>郑州铁路运输</w:t>
      </w:r>
      <w:r>
        <w:rPr>
          <w:rFonts w:hint="eastAsia" w:ascii="仿宋_GB2312" w:hAnsi="仿宋_GB2312" w:eastAsia="仿宋_GB2312" w:cs="仿宋_GB2312"/>
          <w:spacing w:val="12"/>
          <w:sz w:val="32"/>
          <w:szCs w:val="32"/>
        </w:rPr>
        <w:t>法院</w:t>
      </w:r>
      <w:r>
        <w:rPr>
          <w:rFonts w:hint="eastAsia" w:ascii="仿宋_GB2312" w:hAnsi="仿宋_GB2312" w:eastAsia="仿宋_GB2312" w:cs="仿宋_GB2312"/>
          <w:spacing w:val="8"/>
          <w:sz w:val="32"/>
          <w:szCs w:val="32"/>
          <w:lang w:eastAsia="zh-CN"/>
        </w:rPr>
        <w:t>提起行政诉讼。申请行政复议或者提起行政诉讼，不停止行政处罚决定的执行。</w:t>
      </w:r>
    </w:p>
    <w:p w14:paraId="48B6EDB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
          <w:sz w:val="32"/>
          <w:szCs w:val="32"/>
          <w:lang w:eastAsia="zh-CN"/>
        </w:rPr>
        <w:t>到期不缴纳罚款的，我局可以依据《中华人民共和国行政处罚法》第七十二条第一款第一项规定，每日按罚款数额的3%加处罚款。逾期不申请行政复议，不提起行政诉讼，又不履行本处罚决定的，我局将依法申请人民法院强制执行。</w:t>
      </w:r>
    </w:p>
    <w:p w14:paraId="6B4BE44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F5AF48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21A9E7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新乡市平原城乡一体化示范区管理委员会</w:t>
      </w:r>
    </w:p>
    <w:p w14:paraId="328690A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542" w:firstLineChars="1700"/>
        <w:textAlignment w:val="baseline"/>
        <w:rPr>
          <w:rFonts w:hint="eastAsia" w:ascii="仿宋_GB2312" w:hAnsi="仿宋_GB2312" w:eastAsia="仿宋_GB2312" w:cs="仿宋_GB2312"/>
          <w:b w:val="0"/>
          <w:bCs w:val="0"/>
          <w:spacing w:val="20"/>
          <w:sz w:val="32"/>
          <w:szCs w:val="32"/>
          <w:lang w:val="en-US" w:eastAsia="zh-CN"/>
        </w:rPr>
      </w:pPr>
      <w:r>
        <w:rPr>
          <w:rFonts w:hint="eastAsia" w:ascii="仿宋_GB2312" w:hAnsi="仿宋_GB2312" w:eastAsia="仿宋_GB2312" w:cs="仿宋_GB2312"/>
          <w:b w:val="0"/>
          <w:bCs w:val="0"/>
          <w:spacing w:val="3"/>
          <w:sz w:val="32"/>
          <w:szCs w:val="32"/>
          <w:lang w:val="en-US" w:eastAsia="zh-CN"/>
        </w:rPr>
        <w:t>生态环境局</w:t>
      </w: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20"/>
          <w:sz w:val="32"/>
          <w:szCs w:val="32"/>
          <w:lang w:val="en-US" w:eastAsia="zh-CN"/>
        </w:rPr>
        <w:t xml:space="preserve">    </w:t>
      </w:r>
    </w:p>
    <w:p w14:paraId="613757A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rPr>
          <w:rFonts w:hint="eastAsia" w:ascii="仿宋" w:hAnsi="仿宋" w:eastAsia="仿宋" w:cs="仿宋"/>
          <w:b w:val="0"/>
          <w:bCs w:val="0"/>
          <w:sz w:val="32"/>
          <w:szCs w:val="32"/>
          <w:lang w:val="en-US"/>
        </w:rPr>
        <w:sectPr>
          <w:footerReference r:id="rId5" w:type="default"/>
          <w:pgSz w:w="11916" w:h="16848"/>
          <w:pgMar w:top="1684" w:right="1361" w:bottom="1684" w:left="1361" w:header="0" w:footer="1346" w:gutter="0"/>
          <w:cols w:space="720" w:num="1"/>
        </w:sectPr>
      </w:pP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bCs w:val="0"/>
          <w:spacing w:val="3"/>
          <w:sz w:val="32"/>
          <w:szCs w:val="32"/>
          <w:lang w:val="en-US" w:eastAsia="zh-CN"/>
        </w:rPr>
        <w:t xml:space="preserve">    2026年4月14日</w:t>
      </w:r>
    </w:p>
    <w:p w14:paraId="5DD96FDE">
      <w:pPr>
        <w:keepNext w:val="0"/>
        <w:keepLines w:val="0"/>
        <w:pageBreakBefore w:val="0"/>
        <w:widowControl/>
        <w:kinsoku w:val="0"/>
        <w:wordWrap/>
        <w:overflowPunct/>
        <w:topLinePunct w:val="0"/>
        <w:autoSpaceDE w:val="0"/>
        <w:autoSpaceDN w:val="0"/>
        <w:bidi w:val="0"/>
        <w:adjustRightInd w:val="0"/>
        <w:snapToGrid w:val="0"/>
        <w:spacing w:before="10" w:after="0" w:afterLines="50"/>
        <w:textAlignment w:val="baseline"/>
        <w:sectPr>
          <w:footerReference r:id="rId6" w:type="default"/>
          <w:pgSz w:w="11916" w:h="16848"/>
          <w:pgMar w:top="400" w:right="1417" w:bottom="1615" w:left="1533" w:header="0" w:footer="1346" w:gutter="0"/>
          <w:cols w:space="720" w:num="1"/>
        </w:sectPr>
      </w:pPr>
    </w:p>
    <w:p w14:paraId="679AAA3B">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32143366">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488508FA">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5BD1CEC5">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6D131EAC">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384DE252">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446B7F86"/>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D22A">
    <w:pPr>
      <w:spacing w:line="177" w:lineRule="auto"/>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A6A8">
    <w:pPr>
      <w:spacing w:line="177" w:lineRule="auto"/>
      <w:ind w:left="206"/>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E614">
    <w:pPr>
      <w:spacing w:before="1" w:line="177" w:lineRule="auto"/>
      <w:ind w:right="211"/>
      <w:jc w:val="right"/>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Y2RlYzE5M2Q5N2ViMWYyMjU5MjhlNWM0NWNkZGQifQ=="/>
    <w:docVar w:name="KSO_WPS_MARK_KEY" w:val="7160f136-e206-45eb-8645-47b4732d0001"/>
  </w:docVars>
  <w:rsids>
    <w:rsidRoot w:val="612D4706"/>
    <w:rsid w:val="01D53D52"/>
    <w:rsid w:val="04DE2E5F"/>
    <w:rsid w:val="0FBB0B3D"/>
    <w:rsid w:val="0FC24482"/>
    <w:rsid w:val="127D1BE6"/>
    <w:rsid w:val="12C56B43"/>
    <w:rsid w:val="12F477BD"/>
    <w:rsid w:val="144D471F"/>
    <w:rsid w:val="157B6907"/>
    <w:rsid w:val="17137D33"/>
    <w:rsid w:val="17227246"/>
    <w:rsid w:val="189B3DD5"/>
    <w:rsid w:val="1AF430F5"/>
    <w:rsid w:val="1CA00598"/>
    <w:rsid w:val="1CDA649E"/>
    <w:rsid w:val="1E413C9A"/>
    <w:rsid w:val="1FEC56B7"/>
    <w:rsid w:val="21086FA8"/>
    <w:rsid w:val="23705283"/>
    <w:rsid w:val="23871813"/>
    <w:rsid w:val="27A26C1B"/>
    <w:rsid w:val="2C18335D"/>
    <w:rsid w:val="2CAB6496"/>
    <w:rsid w:val="2D0F4D3C"/>
    <w:rsid w:val="2D2D6F87"/>
    <w:rsid w:val="2FE43538"/>
    <w:rsid w:val="2FF14E52"/>
    <w:rsid w:val="300776B2"/>
    <w:rsid w:val="3281727A"/>
    <w:rsid w:val="32E80550"/>
    <w:rsid w:val="33AE235F"/>
    <w:rsid w:val="346E6BFB"/>
    <w:rsid w:val="390F4B7D"/>
    <w:rsid w:val="400A66CB"/>
    <w:rsid w:val="424B0183"/>
    <w:rsid w:val="429133AD"/>
    <w:rsid w:val="46C42B12"/>
    <w:rsid w:val="4B3A3665"/>
    <w:rsid w:val="4CCA0089"/>
    <w:rsid w:val="4E792C13"/>
    <w:rsid w:val="50300C8B"/>
    <w:rsid w:val="588A16DB"/>
    <w:rsid w:val="58BE704C"/>
    <w:rsid w:val="59B8691A"/>
    <w:rsid w:val="5D6C71B4"/>
    <w:rsid w:val="5F5C01ED"/>
    <w:rsid w:val="60DC60A6"/>
    <w:rsid w:val="612D4706"/>
    <w:rsid w:val="624E3837"/>
    <w:rsid w:val="62A329FE"/>
    <w:rsid w:val="649C5219"/>
    <w:rsid w:val="659D3274"/>
    <w:rsid w:val="66881AAA"/>
    <w:rsid w:val="6B491C67"/>
    <w:rsid w:val="6C0311A0"/>
    <w:rsid w:val="716562BD"/>
    <w:rsid w:val="717B4549"/>
    <w:rsid w:val="72B76BB0"/>
    <w:rsid w:val="74025893"/>
    <w:rsid w:val="797A739F"/>
    <w:rsid w:val="7ACB1B3B"/>
    <w:rsid w:val="7C090582"/>
    <w:rsid w:val="7DDD71DA"/>
    <w:rsid w:val="7DEF38AD"/>
    <w:rsid w:val="7E5E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ascii="华文中宋" w:eastAsia="华文中宋"/>
      <w:b/>
      <w:bCs/>
      <w:sz w:val="44"/>
      <w:szCs w:val="36"/>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2477</Words>
  <Characters>2723</Characters>
  <Lines>0</Lines>
  <Paragraphs>0</Paragraphs>
  <TotalTime>1</TotalTime>
  <ScaleCrop>false</ScaleCrop>
  <LinksUpToDate>false</LinksUpToDate>
  <CharactersWithSpaces>2766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2023-03-07T03:19:00Z</dcterms:created>
  <dc:creator>旧颜</dc:creator>
  <cp:lastModifiedBy>王欢</cp:lastModifiedBy>
  <cp:lastPrinted>2026-09-07T09:28:43Z</cp:lastPrinted>
  <dcterms:modified xsi:type="dcterms:W3CDTF">2026-09-07T09:28:45Z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1B111271AAF74517B7C13E62B238EA16_13</vt:lpwstr>
  </property>
  <property fmtid="{D5CDD505-2E9C-101B-9397-08002B2CF9AE}" pid="4" name="KSOTemplateDocerSaveRecord">
    <vt:lpwstr>eyJoZGlkIjoiNjNiY2RlYzE5M2Q5N2ViMWYyMjU5MjhlNWM0NWNkZGQiLCJ1c2VySWQiOiIyMTQ4NzQ4NzIifQ==</vt:lpwstr>
  </property>
</Properties>
</file>