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5F69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关于公布2025年度规范性文件</w:t>
      </w:r>
    </w:p>
    <w:p w14:paraId="1B3E85C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清理结果的决定</w:t>
      </w:r>
    </w:p>
    <w:p w14:paraId="5F52FC4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方正小标宋_GBK" w:hAnsi="方正小标宋_GBK" w:eastAsia="方正小标宋_GBK" w:cs="方正小标宋_GBK"/>
          <w:kern w:val="0"/>
          <w:sz w:val="44"/>
          <w:szCs w:val="44"/>
          <w:lang w:val="en-US" w:eastAsia="zh-CN" w:bidi="ar"/>
        </w:rPr>
      </w:pPr>
    </w:p>
    <w:p w14:paraId="3A2A1A6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各乡（镇、街道），</w:t>
      </w:r>
      <w:r>
        <w:rPr>
          <w:rFonts w:hint="default" w:ascii="Times New Roman" w:hAnsi="Times New Roman" w:eastAsia="仿宋_GB2312" w:cs="Times New Roman"/>
          <w:sz w:val="32"/>
          <w:szCs w:val="32"/>
          <w:lang w:val="en"/>
        </w:rPr>
        <w:t>各</w:t>
      </w:r>
      <w:r>
        <w:rPr>
          <w:rFonts w:hint="default" w:ascii="Times New Roman" w:hAnsi="Times New Roman" w:eastAsia="仿宋_GB2312" w:cs="Times New Roman"/>
          <w:sz w:val="32"/>
          <w:szCs w:val="32"/>
          <w:lang w:val="en" w:eastAsia="zh-CN"/>
        </w:rPr>
        <w:t>局（办、委）：</w:t>
      </w:r>
    </w:p>
    <w:p w14:paraId="5D5DB93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为进一步优化营商环境，保障法制统一和政令畅通，</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2025年度平原示范区管委会重大行政决策工作安排，对我区规范性文件进行了全面彻底清理，现将清理结果公布如下：</w:t>
      </w:r>
    </w:p>
    <w:p w14:paraId="45EDFFE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i w:val="0"/>
          <w:color w:val="000000"/>
          <w:kern w:val="0"/>
          <w:sz w:val="32"/>
          <w:szCs w:val="32"/>
          <w:u w:val="none"/>
          <w:lang w:val="en-US" w:eastAsia="zh-CN" w:bidi="ar"/>
        </w:rPr>
        <w:t>平原新区城市基础设施配套费征收管理办法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color w:val="000000"/>
          <w:kern w:val="0"/>
          <w:sz w:val="32"/>
          <w:szCs w:val="32"/>
          <w:u w:val="none"/>
          <w:lang w:val="en-US" w:eastAsia="zh-CN" w:bidi="ar"/>
        </w:rPr>
        <w:t>平管文〔2012〕128号</w:t>
      </w:r>
      <w:r>
        <w:rPr>
          <w:rFonts w:hint="eastAsia" w:ascii="仿宋_GB2312" w:hAnsi="仿宋_GB2312" w:eastAsia="仿宋_GB2312" w:cs="仿宋_GB2312"/>
          <w:sz w:val="32"/>
          <w:szCs w:val="32"/>
          <w:lang w:val="en-US" w:eastAsia="zh-CN"/>
        </w:rPr>
        <w:t>）等41份文件继续有效。</w:t>
      </w:r>
    </w:p>
    <w:p w14:paraId="4577D37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0"/>
          <w:sz w:val="32"/>
          <w:szCs w:val="32"/>
          <w:u w:val="none"/>
          <w:lang w:val="en-US" w:eastAsia="zh-CN" w:bidi="ar"/>
        </w:rPr>
        <w:t>二、《河南省检验检测产业园企业入驻奖励办法（试行）》（平管文〔2020〕109号）</w:t>
      </w:r>
      <w:r>
        <w:rPr>
          <w:rFonts w:hint="eastAsia" w:ascii="仿宋_GB2312" w:hAnsi="仿宋_GB2312" w:eastAsia="仿宋_GB2312" w:cs="仿宋_GB2312"/>
          <w:sz w:val="32"/>
          <w:szCs w:val="32"/>
          <w:lang w:val="en-US" w:eastAsia="zh-CN"/>
        </w:rPr>
        <w:t>等1份宣布废止。</w:t>
      </w:r>
    </w:p>
    <w:p w14:paraId="5568AAE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本决定予以保留、确认继续有效的规范性文件，有关实施部门应当做好跟踪评估工作，及时提出修改、宣布废止的建议，确保规范性文件的合法有效。</w:t>
      </w:r>
    </w:p>
    <w:p w14:paraId="0B543E3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本决定规定宣布废止的规范性文件，</w:t>
      </w:r>
      <w:r>
        <w:rPr>
          <w:rFonts w:hint="default" w:ascii="Times New Roman" w:hAnsi="Times New Roman" w:eastAsia="仿宋_GB2312" w:cs="Times New Roman"/>
          <w:sz w:val="32"/>
          <w:szCs w:val="32"/>
          <w:lang w:val="en" w:eastAsia="zh-CN"/>
        </w:rPr>
        <w:t>各乡（镇、街道），</w:t>
      </w:r>
      <w:r>
        <w:rPr>
          <w:rFonts w:hint="default" w:ascii="Times New Roman" w:hAnsi="Times New Roman" w:eastAsia="仿宋_GB2312" w:cs="Times New Roman"/>
          <w:sz w:val="32"/>
          <w:szCs w:val="32"/>
          <w:lang w:val="en"/>
        </w:rPr>
        <w:t>各</w:t>
      </w:r>
      <w:r>
        <w:rPr>
          <w:rFonts w:hint="default" w:ascii="Times New Roman" w:hAnsi="Times New Roman" w:eastAsia="仿宋_GB2312" w:cs="Times New Roman"/>
          <w:sz w:val="32"/>
          <w:szCs w:val="32"/>
          <w:lang w:val="en" w:eastAsia="zh-CN"/>
        </w:rPr>
        <w:t>局（办、委）</w:t>
      </w:r>
      <w:r>
        <w:rPr>
          <w:rFonts w:hint="eastAsia" w:ascii="仿宋_GB2312" w:hAnsi="仿宋_GB2312" w:eastAsia="仿宋_GB2312" w:cs="仿宋_GB2312"/>
          <w:sz w:val="32"/>
          <w:szCs w:val="32"/>
        </w:rPr>
        <w:t>不得再作为行政管理的依据，并切实做好有关规范性文件废止后的后续管理工作</w:t>
      </w:r>
      <w:r>
        <w:rPr>
          <w:rFonts w:hint="eastAsia" w:ascii="仿宋_GB2312" w:hAnsi="仿宋_GB2312" w:eastAsia="仿宋_GB2312" w:cs="仿宋_GB2312"/>
          <w:sz w:val="32"/>
          <w:szCs w:val="32"/>
          <w:lang w:eastAsia="zh-CN"/>
        </w:rPr>
        <w:t>。</w:t>
      </w:r>
    </w:p>
    <w:p w14:paraId="65F7337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本决定自公布之日起施行，此前相关规定与本决定不一致的，以此决定为准。</w:t>
      </w:r>
    </w:p>
    <w:p w14:paraId="5DA5A5E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p>
    <w:p w14:paraId="0BDD726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确认继续有效的规范性文件目录（</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份）</w:t>
      </w:r>
    </w:p>
    <w:p w14:paraId="4F9F386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宣布废止的规范性文件目录（</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份）</w:t>
      </w:r>
    </w:p>
    <w:p w14:paraId="235BD54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p>
    <w:p w14:paraId="10B501F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p>
    <w:p w14:paraId="12D65A54">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平原示范区管委会    </w:t>
      </w:r>
    </w:p>
    <w:p w14:paraId="20AFA7E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2025年5月9日</w:t>
      </w:r>
    </w:p>
    <w:p w14:paraId="64B7A56A">
      <w:pPr>
        <w:rPr>
          <w:rFonts w:hint="eastAsia" w:ascii="黑体" w:hAnsi="黑体" w:eastAsia="黑体" w:cs="黑体"/>
          <w:sz w:val="32"/>
          <w:szCs w:val="40"/>
          <w:lang w:val="en-US" w:eastAsia="zh-CN"/>
        </w:rPr>
      </w:pPr>
      <w:r>
        <w:rPr>
          <w:rFonts w:hint="default"/>
          <w:lang w:val="en-US" w:eastAsia="zh-CN"/>
        </w:rPr>
        <w:br w:type="page"/>
      </w: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w:t>
      </w:r>
    </w:p>
    <w:p w14:paraId="427DD9B5">
      <w:pPr>
        <w:jc w:val="center"/>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确认继续有效的规范性文件目录（42份）</w:t>
      </w:r>
    </w:p>
    <w:tbl>
      <w:tblPr>
        <w:tblStyle w:val="4"/>
        <w:tblpPr w:leftFromText="180" w:rightFromText="180" w:vertAnchor="text" w:horzAnchor="page" w:tblpX="512" w:tblpY="437"/>
        <w:tblOverlap w:val="never"/>
        <w:tblW w:w="10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2973"/>
        <w:gridCol w:w="7217"/>
      </w:tblGrid>
      <w:tr w14:paraId="576B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0" w:type="dxa"/>
            <w:tcBorders>
              <w:top w:val="nil"/>
              <w:left w:val="nil"/>
              <w:bottom w:val="nil"/>
              <w:right w:val="nil"/>
            </w:tcBorders>
            <w:noWrap/>
            <w:vAlign w:val="bottom"/>
          </w:tcPr>
          <w:p w14:paraId="283D3E9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000000"/>
                <w:spacing w:val="-6"/>
                <w:sz w:val="24"/>
                <w:szCs w:val="24"/>
                <w:u w:val="none"/>
              </w:rPr>
            </w:pPr>
          </w:p>
        </w:tc>
        <w:tc>
          <w:tcPr>
            <w:tcW w:w="2973" w:type="dxa"/>
            <w:tcBorders>
              <w:top w:val="nil"/>
              <w:left w:val="nil"/>
              <w:bottom w:val="nil"/>
              <w:right w:val="nil"/>
            </w:tcBorders>
            <w:noWrap/>
            <w:vAlign w:val="bottom"/>
          </w:tcPr>
          <w:p w14:paraId="7AEB826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000000"/>
                <w:spacing w:val="-6"/>
                <w:sz w:val="24"/>
                <w:szCs w:val="24"/>
                <w:u w:val="none"/>
              </w:rPr>
            </w:pPr>
          </w:p>
        </w:tc>
        <w:tc>
          <w:tcPr>
            <w:tcW w:w="7217" w:type="dxa"/>
            <w:tcBorders>
              <w:top w:val="nil"/>
              <w:left w:val="nil"/>
              <w:bottom w:val="nil"/>
              <w:right w:val="nil"/>
            </w:tcBorders>
            <w:noWrap/>
            <w:vAlign w:val="bottom"/>
          </w:tcPr>
          <w:p w14:paraId="548F685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color w:val="000000"/>
                <w:spacing w:val="-6"/>
                <w:sz w:val="24"/>
                <w:szCs w:val="24"/>
                <w:u w:val="none"/>
              </w:rPr>
            </w:pPr>
          </w:p>
        </w:tc>
      </w:tr>
      <w:tr w14:paraId="7A1F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83AB2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color w:val="000000"/>
                <w:spacing w:val="-6"/>
                <w:kern w:val="0"/>
                <w:sz w:val="24"/>
                <w:szCs w:val="24"/>
                <w:u w:val="none"/>
                <w:lang w:val="en-US" w:eastAsia="zh-CN" w:bidi="ar"/>
              </w:rPr>
            </w:pPr>
            <w:r>
              <w:rPr>
                <w:rFonts w:hint="eastAsia" w:ascii="宋体" w:hAnsi="宋体" w:cs="宋体"/>
                <w:i w:val="0"/>
                <w:color w:val="000000"/>
                <w:spacing w:val="-6"/>
                <w:kern w:val="0"/>
                <w:sz w:val="24"/>
                <w:szCs w:val="24"/>
                <w:u w:val="none"/>
                <w:lang w:val="en-US" w:eastAsia="zh-CN" w:bidi="ar"/>
              </w:rPr>
              <w:t>序号</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590ABD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color w:val="000000"/>
                <w:spacing w:val="-6"/>
                <w:kern w:val="0"/>
                <w:sz w:val="24"/>
                <w:szCs w:val="24"/>
                <w:u w:val="none"/>
                <w:lang w:val="en-US" w:eastAsia="zh-CN" w:bidi="ar"/>
              </w:rPr>
            </w:pPr>
            <w:r>
              <w:rPr>
                <w:rFonts w:hint="eastAsia" w:ascii="宋体" w:hAnsi="宋体" w:cs="宋体"/>
                <w:i w:val="0"/>
                <w:color w:val="000000"/>
                <w:spacing w:val="-6"/>
                <w:kern w:val="0"/>
                <w:sz w:val="24"/>
                <w:szCs w:val="24"/>
                <w:u w:val="none"/>
                <w:lang w:val="en-US" w:eastAsia="zh-CN" w:bidi="ar"/>
              </w:rPr>
              <w:t>发文字号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5EC66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cs="宋体"/>
                <w:i w:val="0"/>
                <w:color w:val="000000"/>
                <w:spacing w:val="-6"/>
                <w:kern w:val="0"/>
                <w:sz w:val="24"/>
                <w:szCs w:val="24"/>
                <w:u w:val="none"/>
                <w:lang w:val="en-US" w:eastAsia="zh-CN" w:bidi="ar"/>
              </w:rPr>
              <w:t>文件名称</w:t>
            </w:r>
          </w:p>
        </w:tc>
      </w:tr>
      <w:tr w14:paraId="048F3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4633C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B05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4EA244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平管文〔2012〕128号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51A379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平原新区城市基础设施配套费征收管理办法</w:t>
            </w:r>
          </w:p>
        </w:tc>
      </w:tr>
      <w:tr w14:paraId="6DDAF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A3EDC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2159CA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平管文〔2013〕46号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5CA8E4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平原新区凤湖公园管理规定</w:t>
            </w:r>
          </w:p>
        </w:tc>
      </w:tr>
      <w:tr w14:paraId="0D39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1AB5C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3A1C1B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平管文〔2013〕70号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4352E3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平原新区被征地农民养老保险暂行办法</w:t>
            </w:r>
          </w:p>
        </w:tc>
      </w:tr>
      <w:tr w14:paraId="58072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824D3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4</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0DA4F0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平管文〔2013〕146号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5D41B4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平原新区核心区被征地农民培训就业安置暂行办法</w:t>
            </w:r>
          </w:p>
        </w:tc>
      </w:tr>
      <w:tr w14:paraId="03E6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ABF1D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5</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407A8B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平管文〔2014〕86号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3BB18D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示范区临时建设工程及户外广告规划管理办法（暂行）</w:t>
            </w:r>
          </w:p>
        </w:tc>
      </w:tr>
      <w:tr w14:paraId="7979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16033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6</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6AB775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平管文〔2014〕87号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5F703E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扶持企业发展专项资金管理办法（试行）</w:t>
            </w:r>
          </w:p>
        </w:tc>
      </w:tr>
      <w:tr w14:paraId="62C6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44C0E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7</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01D26B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平管文〔2015〕13号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54A2BF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城</w:t>
            </w:r>
            <w:r>
              <w:rPr>
                <w:rFonts w:hint="default" w:ascii="宋体" w:hAnsi="宋体" w:cs="宋体"/>
                <w:i w:val="0"/>
                <w:color w:val="000000"/>
                <w:spacing w:val="-6"/>
                <w:kern w:val="0"/>
                <w:sz w:val="24"/>
                <w:szCs w:val="24"/>
                <w:u w:val="none"/>
                <w:lang w:val="en" w:eastAsia="zh-CN" w:bidi="ar"/>
              </w:rPr>
              <w:t>乡</w:t>
            </w:r>
            <w:r>
              <w:rPr>
                <w:rFonts w:hint="eastAsia" w:ascii="宋体" w:hAnsi="宋体" w:eastAsia="宋体" w:cs="宋体"/>
                <w:i w:val="0"/>
                <w:color w:val="000000"/>
                <w:spacing w:val="-6"/>
                <w:kern w:val="0"/>
                <w:sz w:val="24"/>
                <w:szCs w:val="24"/>
                <w:u w:val="none"/>
                <w:lang w:val="en-US" w:eastAsia="zh-CN" w:bidi="ar"/>
              </w:rPr>
              <w:t>居民基本养老保险实施方案</w:t>
            </w:r>
          </w:p>
        </w:tc>
      </w:tr>
      <w:tr w14:paraId="6054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70AC9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8</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2B2293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平管文〔2015〕78号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550104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平原示范区公共租赁住房配租方案</w:t>
            </w:r>
          </w:p>
        </w:tc>
      </w:tr>
      <w:tr w14:paraId="48896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FEEE0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9</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15DE4C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平管文〔2017〕42号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599C37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关于印发《平原示范区关于鼓励企业在中原股权交易中心挂牌的奖励办法》的通知</w:t>
            </w:r>
          </w:p>
        </w:tc>
      </w:tr>
      <w:tr w14:paraId="431F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EF8E5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10</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660AA0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平办〔2017〕66号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389882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产业扶持脱贫实施方案</w:t>
            </w:r>
          </w:p>
        </w:tc>
      </w:tr>
      <w:tr w14:paraId="39D1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8000C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11</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02AAB4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平管文〔2017〕129号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7BE41D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平原示范区光伏扶贫实施方案</w:t>
            </w:r>
          </w:p>
        </w:tc>
      </w:tr>
      <w:tr w14:paraId="0DB2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E6B89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12</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11386B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平管文〔2018〕10号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19AB9F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关于印发《平原示范区污水处理费征收使用管理办法》的通知</w:t>
            </w:r>
          </w:p>
        </w:tc>
      </w:tr>
      <w:tr w14:paraId="51FD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2D6CD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13</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7EB056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平管文〔2019〕10号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28F6D7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关于禁售禁燃烟花爆竹的通告</w:t>
            </w:r>
          </w:p>
        </w:tc>
      </w:tr>
      <w:tr w14:paraId="451A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D0F34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14</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57E395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平管文〔2019〕21号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7478BE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关于印发《新乡市平原城乡一体化示范区管理委员会大力发展装配式建筑的实施方案》的通知</w:t>
            </w:r>
          </w:p>
        </w:tc>
      </w:tr>
      <w:tr w14:paraId="2B41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7FBAB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15</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585428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平管文〔2019〕69号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0AB01E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关于调整公共租赁住房租金与物业费的通知</w:t>
            </w:r>
          </w:p>
        </w:tc>
      </w:tr>
      <w:tr w14:paraId="78502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5329D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16</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33E167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平管文〔2019〕73号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3A5C74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关于示范区公共租赁住房配租补充方案</w:t>
            </w:r>
          </w:p>
        </w:tc>
      </w:tr>
      <w:tr w14:paraId="5ADA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20D70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17</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784BC4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平管文〔2019〕94号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70E9CA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印发《关于基础公益设施建设征收集体土地地上（下）附着物补偿的有关规定（暂行）》的通知</w:t>
            </w:r>
          </w:p>
        </w:tc>
      </w:tr>
      <w:tr w14:paraId="2B67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63569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18</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349F1F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平办〔2019〕39号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30DAA5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关于进一步加强示范区农村户籍迁入管理的通知</w:t>
            </w:r>
          </w:p>
        </w:tc>
      </w:tr>
      <w:tr w14:paraId="2584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65F8A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19</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45F254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平管文〔2019〕138号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34A523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新乡市平原示范区城市公交运行补贴办法（试行）</w:t>
            </w:r>
          </w:p>
        </w:tc>
      </w:tr>
      <w:tr w14:paraId="4F38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892F0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20</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1C5F90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平办〔2019〕13号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4C40F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关于严禁在电力电路通道内违章植树违章施工的通知</w:t>
            </w:r>
          </w:p>
        </w:tc>
      </w:tr>
      <w:tr w14:paraId="08F6D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745EC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21</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6A8EE8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平办〔2019〕16号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48A05E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关于印发《平原示范区产业扶贫项目收益分配使用管理办法》的通知</w:t>
            </w:r>
          </w:p>
        </w:tc>
      </w:tr>
      <w:tr w14:paraId="556F5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CCE8C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22</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1D9BD2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平管文〔2020〕16号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53EE21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关于对辖区关联车辆通行郑新黄河大桥精准补贴实施办法（试行）</w:t>
            </w:r>
          </w:p>
        </w:tc>
      </w:tr>
      <w:tr w14:paraId="3465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85BA5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23</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17EB72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平管文〔2020〕40号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0DBE8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关于印发平原示范区农村教师周转宿舍建设实施方案和平原示范区农村教师住房建设工作实施方案的通知</w:t>
            </w:r>
          </w:p>
        </w:tc>
      </w:tr>
      <w:tr w14:paraId="7EB4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8F934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24</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032817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平管文〔2020〕47号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7070C3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关于规范土地收储及临时管护利用等相关问题的通知</w:t>
            </w:r>
          </w:p>
        </w:tc>
      </w:tr>
      <w:tr w14:paraId="4C40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C589A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25</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507327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FF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平管文〔2020〕69号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2623EA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FF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森林新区生态建设管理办法</w:t>
            </w:r>
          </w:p>
        </w:tc>
      </w:tr>
      <w:tr w14:paraId="1BA4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8F2E3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26</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30BB41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平管文〔2020〕77号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44042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关于进一步加快推进城镇小区配套幼儿园治理工作的通知</w:t>
            </w:r>
          </w:p>
        </w:tc>
      </w:tr>
      <w:tr w14:paraId="17F1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823CF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27</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0B6D59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平管文〔2020〕95号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2BA4E1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关于印发《平原示范区区级集中饮用水源地突发环境事件应急预案》</w:t>
            </w:r>
          </w:p>
        </w:tc>
      </w:tr>
      <w:tr w14:paraId="6254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548F3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28</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78D388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平管文〔2020〕110号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0786D6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关于印发《平原示范区入住社区居民养老补贴暂行办法》的通知</w:t>
            </w:r>
          </w:p>
        </w:tc>
      </w:tr>
      <w:tr w14:paraId="5D2B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0" w:type="dxa"/>
            <w:tcBorders>
              <w:top w:val="single" w:color="000000" w:sz="4" w:space="0"/>
              <w:left w:val="single" w:color="000000" w:sz="4" w:space="0"/>
              <w:bottom w:val="single" w:color="000000" w:sz="4" w:space="0"/>
              <w:right w:val="single" w:color="000000" w:sz="4" w:space="0"/>
            </w:tcBorders>
            <w:noWrap w:val="0"/>
            <w:vAlign w:val="center"/>
          </w:tcPr>
          <w:p w14:paraId="44FC07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cs="宋体"/>
                <w:i w:val="0"/>
                <w:color w:val="000000"/>
                <w:spacing w:val="-6"/>
                <w:kern w:val="0"/>
                <w:sz w:val="24"/>
                <w:szCs w:val="24"/>
                <w:u w:val="none"/>
                <w:lang w:val="en-US" w:eastAsia="zh-CN" w:bidi="ar"/>
              </w:rPr>
              <w:t>29</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14:paraId="2A6BAE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平办〔2020〕10号</w:t>
            </w:r>
          </w:p>
        </w:tc>
        <w:tc>
          <w:tcPr>
            <w:tcW w:w="7217" w:type="dxa"/>
            <w:tcBorders>
              <w:top w:val="single" w:color="000000" w:sz="4" w:space="0"/>
              <w:left w:val="single" w:color="000000" w:sz="4" w:space="0"/>
              <w:bottom w:val="single" w:color="000000" w:sz="4" w:space="0"/>
              <w:right w:val="single" w:color="000000" w:sz="4" w:space="0"/>
            </w:tcBorders>
            <w:noWrap w:val="0"/>
            <w:vAlign w:val="center"/>
          </w:tcPr>
          <w:p w14:paraId="6A98EF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关于印发《新乡市平原示范区公墓建设管理办法》的通知</w:t>
            </w:r>
          </w:p>
        </w:tc>
      </w:tr>
      <w:tr w14:paraId="567E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3E878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30</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38B10C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平办〔2020〕13号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53AF8B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关于加强公共租赁住房及配套商业服务设施运营管理的通知</w:t>
            </w:r>
          </w:p>
        </w:tc>
      </w:tr>
      <w:tr w14:paraId="0169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FE79F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31</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57C2A9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平办〔2020〕27号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72E24A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关于印发《平原示范区农村宅基地有偿使用、流转和退出暂行办法》</w:t>
            </w:r>
          </w:p>
        </w:tc>
      </w:tr>
      <w:tr w14:paraId="4209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47734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32</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135A78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平办〔2020〕28号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1431C9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关于印发《平原示范区农村宅基地改革工作推进方案的通知》</w:t>
            </w:r>
          </w:p>
        </w:tc>
      </w:tr>
      <w:tr w14:paraId="204A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D7A2A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33</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5EF340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平管文〔2021〕39号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52509D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关于印发“千博万硕进平原”购房补贴政策实施办法（试行）的通知</w:t>
            </w:r>
          </w:p>
        </w:tc>
      </w:tr>
      <w:tr w14:paraId="60EDF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FE7B8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34</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01DACD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平管文〔2021〕89号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17A6F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关于印发平原示范区农村宅基地和村民自建住房实施细则（试行）的通知</w:t>
            </w:r>
          </w:p>
        </w:tc>
      </w:tr>
      <w:tr w14:paraId="52CB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2C338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35</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2C191F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平办〔2021〕39号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30A3CC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关于延伸房地产领域预售资金监管范围的通知</w:t>
            </w:r>
          </w:p>
        </w:tc>
      </w:tr>
      <w:tr w14:paraId="3906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2EE24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36</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693192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平管文〔2022〕49号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072CDC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关于印发《2022年平原示范区全面推进农产品产地冷藏保鲜设施建设工作实施方案》的通知</w:t>
            </w:r>
          </w:p>
        </w:tc>
      </w:tr>
      <w:tr w14:paraId="7D39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D6C2F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37</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4B24DF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平管文〔2022〕23号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33D36E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关于优化建设项目审批制度的实施意见</w:t>
            </w:r>
          </w:p>
        </w:tc>
      </w:tr>
      <w:tr w14:paraId="5C0C5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2B1D0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38</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0C8C30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平管文〔2024〕32号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3C122C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关于印发新乡市平原示范区集体经营性建设用地使用权入市管理办法（试行）的通知</w:t>
            </w:r>
          </w:p>
        </w:tc>
      </w:tr>
      <w:tr w14:paraId="0060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501C5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39</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236A90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平管文〔2024〕33号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48F5BC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关于印发新乡市平原示范区集体经营性建设用地土地增值收益调节金征管实施细则（试行）的通知</w:t>
            </w:r>
          </w:p>
        </w:tc>
      </w:tr>
      <w:tr w14:paraId="47D2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C1764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40</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4C8EF0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平管文〔2024〕32号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4F8F9C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关于印发新乡市平原示范区集体经营性建设用地入市相关税费调节金征管办法（试行）的通知</w:t>
            </w:r>
          </w:p>
        </w:tc>
      </w:tr>
      <w:tr w14:paraId="17D6A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38306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41</w:t>
            </w:r>
          </w:p>
        </w:tc>
        <w:tc>
          <w:tcPr>
            <w:tcW w:w="2973" w:type="dxa"/>
            <w:tcBorders>
              <w:top w:val="single" w:color="000000" w:sz="4" w:space="0"/>
              <w:left w:val="single" w:color="000000" w:sz="4" w:space="0"/>
              <w:bottom w:val="single" w:color="000000" w:sz="4" w:space="0"/>
              <w:right w:val="single" w:color="000000" w:sz="4" w:space="0"/>
            </w:tcBorders>
            <w:noWrap/>
            <w:vAlign w:val="center"/>
          </w:tcPr>
          <w:p w14:paraId="0CC09C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平管文〔2024〕60号</w:t>
            </w:r>
          </w:p>
        </w:tc>
        <w:tc>
          <w:tcPr>
            <w:tcW w:w="7217" w:type="dxa"/>
            <w:tcBorders>
              <w:top w:val="single" w:color="000000" w:sz="4" w:space="0"/>
              <w:left w:val="single" w:color="000000" w:sz="4" w:space="0"/>
              <w:bottom w:val="single" w:color="000000" w:sz="4" w:space="0"/>
              <w:right w:val="single" w:color="000000" w:sz="4" w:space="0"/>
            </w:tcBorders>
            <w:noWrap/>
            <w:vAlign w:val="center"/>
          </w:tcPr>
          <w:p w14:paraId="35ED22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关于印发平原示范区主任质量奖管理办法的通知</w:t>
            </w:r>
          </w:p>
        </w:tc>
      </w:tr>
    </w:tbl>
    <w:p w14:paraId="1FC0463F"/>
    <w:p w14:paraId="79D61EE6">
      <w:pPr>
        <w:rPr>
          <w:rFonts w:hint="default" w:ascii="黑体" w:hAnsi="黑体" w:eastAsia="黑体" w:cs="黑体"/>
          <w:sz w:val="32"/>
          <w:szCs w:val="40"/>
          <w:lang w:val="en-US" w:eastAsia="zh-CN"/>
        </w:rPr>
      </w:pPr>
      <w:r>
        <w:rPr>
          <w:rFonts w:hint="default"/>
          <w:lang w:val="en-US" w:eastAsia="zh-CN"/>
        </w:rPr>
        <w:br w:type="page"/>
      </w: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2</w:t>
      </w:r>
    </w:p>
    <w:p w14:paraId="7E3B91C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40"/>
          <w:lang w:val="en-US" w:eastAsia="zh-CN"/>
        </w:rPr>
      </w:pPr>
      <w:r>
        <w:rPr>
          <w:rFonts w:hint="eastAsia" w:ascii="方正小标宋简体" w:hAnsi="方正小标宋简体" w:eastAsia="方正小标宋简体" w:cs="方正小标宋简体"/>
          <w:sz w:val="40"/>
          <w:szCs w:val="48"/>
          <w:lang w:val="en-US" w:eastAsia="zh-CN"/>
        </w:rPr>
        <w:t>宣布废止的规范性文件目录（1份）</w:t>
      </w:r>
    </w:p>
    <w:tbl>
      <w:tblPr>
        <w:tblStyle w:val="5"/>
        <w:tblpPr w:leftFromText="180" w:rightFromText="180" w:vertAnchor="page" w:horzAnchor="page" w:tblpX="1362" w:tblpY="3201"/>
        <w:tblOverlap w:val="never"/>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883"/>
        <w:gridCol w:w="5833"/>
      </w:tblGrid>
      <w:tr w14:paraId="6067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7" w:type="dxa"/>
            <w:noWrap w:val="0"/>
            <w:vAlign w:val="center"/>
          </w:tcPr>
          <w:p w14:paraId="5DCB5B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2883" w:type="dxa"/>
            <w:noWrap w:val="0"/>
            <w:vAlign w:val="center"/>
          </w:tcPr>
          <w:p w14:paraId="488D34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发文字号</w:t>
            </w:r>
          </w:p>
        </w:tc>
        <w:tc>
          <w:tcPr>
            <w:tcW w:w="5833" w:type="dxa"/>
            <w:noWrap w:val="0"/>
            <w:vAlign w:val="center"/>
          </w:tcPr>
          <w:p w14:paraId="773943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文件名称</w:t>
            </w:r>
          </w:p>
        </w:tc>
      </w:tr>
      <w:tr w14:paraId="642C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14:paraId="536A1A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color w:val="000000"/>
                <w:vertAlign w:val="baseline"/>
              </w:rPr>
            </w:pPr>
            <w:r>
              <w:rPr>
                <w:rFonts w:hint="eastAsia" w:ascii="宋体" w:hAnsi="宋体" w:eastAsia="宋体" w:cs="宋体"/>
                <w:i w:val="0"/>
                <w:color w:val="000000"/>
                <w:kern w:val="0"/>
                <w:sz w:val="24"/>
                <w:szCs w:val="24"/>
                <w:u w:val="none"/>
                <w:lang w:val="en-US" w:eastAsia="zh-CN" w:bidi="ar"/>
              </w:rPr>
              <w:t>1</w:t>
            </w:r>
          </w:p>
        </w:tc>
        <w:tc>
          <w:tcPr>
            <w:tcW w:w="2883" w:type="dxa"/>
            <w:noWrap w:val="0"/>
            <w:vAlign w:val="center"/>
          </w:tcPr>
          <w:p w14:paraId="49905A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color w:val="000000"/>
                <w:vertAlign w:val="baseline"/>
              </w:rPr>
            </w:pPr>
            <w:r>
              <w:rPr>
                <w:rFonts w:hint="eastAsia" w:ascii="宋体" w:hAnsi="宋体" w:eastAsia="宋体" w:cs="宋体"/>
                <w:i w:val="0"/>
                <w:color w:val="000000"/>
                <w:kern w:val="0"/>
                <w:sz w:val="24"/>
                <w:szCs w:val="24"/>
                <w:u w:val="none"/>
                <w:lang w:val="en-US" w:eastAsia="zh-CN" w:bidi="ar"/>
              </w:rPr>
              <w:t>平管文〔2020〕109号</w:t>
            </w:r>
          </w:p>
        </w:tc>
        <w:tc>
          <w:tcPr>
            <w:tcW w:w="5833" w:type="dxa"/>
            <w:noWrap w:val="0"/>
            <w:vAlign w:val="center"/>
          </w:tcPr>
          <w:p w14:paraId="7F2D6A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河南省检验检测产业园企业入驻奖励办法（试行）</w:t>
            </w:r>
          </w:p>
        </w:tc>
      </w:tr>
    </w:tbl>
    <w:p w14:paraId="6DBFD69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lang w:val="en-US" w:eastAsia="zh-CN"/>
        </w:rPr>
      </w:pPr>
    </w:p>
    <w:p w14:paraId="2C0D6652">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F33C9"/>
    <w:rsid w:val="65BF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contextualSpacing/>
    </w:pPr>
    <w:rPr>
      <w:rFonts w:ascii="Times New Roman" w:hAnsi="Times New Roman" w:eastAsia="宋体"/>
      <w:sz w:val="28"/>
      <w:szCs w:val="20"/>
    </w:r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2025-05-12T09:10:00Z</dcterms:created>
  <dc:creator>Administrator</dc:creator>
  <cp:lastModifiedBy>Administrator</cp:lastModifiedBy>
  <dcterms:modified xsi:type="dcterms:W3CDTF">2025-05-12T09:11:37Z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2598D1E61113479A96C3971128DEAD87_11</vt:lpwstr>
  </property>
  <property fmtid="{D5CDD505-2E9C-101B-9397-08002B2CF9AE}" pid="4" name="KSOTemplateDocerSaveRecord">
    <vt:lpwstr>eyJoZGlkIjoiNzlkNTQwMDBiMmZkYmMwYWJjYTM5OGJiY2NlMTRiY2MifQ==</vt:lpwstr>
  </property>
</Properties>
</file>