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D911C">
      <w:pPr>
        <w:keepNext w:val="0"/>
        <w:keepLines w:val="0"/>
        <w:pageBreakBefore w:val="0"/>
        <w:widowControl w:val="0"/>
        <w:kinsoku/>
        <w:wordWrap/>
        <w:overflowPunct/>
        <w:autoSpaceDE/>
        <w:autoSpaceDN/>
        <w:bidi w:val="0"/>
        <w:adjustRightInd w:val="0"/>
        <w:snapToGrid w:val="0"/>
        <w:spacing w:line="240" w:lineRule="auto"/>
        <w:jc w:val="left"/>
        <w:textAlignment w:val="auto"/>
        <w:rPr>
          <w:rFonts w:hint="eastAsia" w:ascii="Times New Roman" w:eastAsia="黑体" w:cs="Times New Roman"/>
          <w:sz w:val="44"/>
          <w:lang w:val="en-US" w:eastAsia="zh-CN"/>
        </w:rPr>
      </w:pPr>
      <w:r>
        <w:rPr>
          <w:rFonts w:ascii="Times New Roman" w:hAnsi="黑体" w:eastAsia="黑体" w:cs="Times New Roman"/>
        </w:rPr>
        <w:t>附件</w:t>
      </w:r>
      <w:r>
        <w:rPr>
          <w:rFonts w:hint="eastAsia" w:ascii="Times New Roman" w:hAnsi="黑体" w:eastAsia="黑体" w:cs="Times New Roman"/>
          <w:lang w:val="en-US" w:eastAsia="zh-CN"/>
        </w:rPr>
        <w:t>1</w:t>
      </w:r>
    </w:p>
    <w:p w14:paraId="6B464660">
      <w:pPr>
        <w:keepNext w:val="0"/>
        <w:keepLines w:val="0"/>
        <w:pageBreakBefore w:val="0"/>
        <w:widowControl w:val="0"/>
        <w:kinsoku/>
        <w:wordWrap/>
        <w:overflowPunct/>
        <w:autoSpaceDE/>
        <w:autoSpaceDN/>
        <w:bidi w:val="0"/>
        <w:adjustRightInd w:val="0"/>
        <w:snapToGrid w:val="0"/>
        <w:spacing w:line="240" w:lineRule="auto"/>
        <w:jc w:val="center"/>
        <w:textAlignment w:val="auto"/>
        <w:rPr>
          <w:rFonts w:ascii="Times New Roman" w:eastAsia="方正小标宋简体" w:cs="Times New Roman"/>
          <w:bCs/>
          <w:snapToGrid w:val="0"/>
          <w:kern w:val="0"/>
          <w:sz w:val="44"/>
          <w:szCs w:val="44"/>
        </w:rPr>
      </w:pPr>
      <w:r>
        <w:rPr>
          <w:rFonts w:ascii="Times New Roman" w:eastAsia="方正小标宋简体" w:cs="Times New Roman"/>
          <w:bCs/>
          <w:snapToGrid w:val="0"/>
          <w:kern w:val="0"/>
          <w:sz w:val="44"/>
          <w:szCs w:val="44"/>
        </w:rPr>
        <w:t>新乡市消防安全重点单位分级界定标准</w:t>
      </w:r>
    </w:p>
    <w:p w14:paraId="18460CC4">
      <w:pPr>
        <w:keepNext w:val="0"/>
        <w:keepLines w:val="0"/>
        <w:pageBreakBefore w:val="0"/>
        <w:widowControl w:val="0"/>
        <w:kinsoku/>
        <w:wordWrap/>
        <w:overflowPunct/>
        <w:autoSpaceDE/>
        <w:autoSpaceDN/>
        <w:bidi w:val="0"/>
        <w:adjustRightInd w:val="0"/>
        <w:snapToGrid w:val="0"/>
        <w:spacing w:line="240" w:lineRule="auto"/>
        <w:jc w:val="center"/>
        <w:textAlignment w:val="auto"/>
        <w:rPr>
          <w:rFonts w:ascii="Times New Roman" w:eastAsia="方正小标宋_GBK" w:cs="Times New Roman"/>
          <w:bCs/>
          <w:snapToGrid w:val="0"/>
          <w:kern w:val="0"/>
          <w:sz w:val="44"/>
          <w:szCs w:val="44"/>
        </w:rPr>
      </w:pPr>
    </w:p>
    <w:p w14:paraId="25AC0E68">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黑体_GBK" w:cs="Times New Roman"/>
          <w:snapToGrid w:val="0"/>
          <w:kern w:val="0"/>
        </w:rPr>
      </w:pPr>
      <w:r>
        <w:rPr>
          <w:rFonts w:ascii="Times New Roman" w:eastAsia="方正黑体_GBK" w:cs="Times New Roman"/>
          <w:snapToGrid w:val="0"/>
          <w:kern w:val="0"/>
        </w:rPr>
        <w:t>一、一级消防安全重点单位（市消防救援支队列管，市城区范围内达到下列标准的单位）</w:t>
      </w:r>
    </w:p>
    <w:p w14:paraId="646D54D7">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（一）学生住宿总床位在3万张以上的综合性大学。</w:t>
      </w:r>
    </w:p>
    <w:p w14:paraId="462ADAC6">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（二）具有典型代表性的单位。</w:t>
      </w:r>
    </w:p>
    <w:p w14:paraId="557AD919">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（三）一级重点单位单位或建筑物内另有符合界定标准而法人不同的单位。</w:t>
      </w:r>
    </w:p>
    <w:p w14:paraId="4731D98B">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黑体_GBK" w:cs="Times New Roman"/>
          <w:snapToGrid w:val="0"/>
          <w:kern w:val="0"/>
        </w:rPr>
      </w:pPr>
      <w:r>
        <w:rPr>
          <w:rFonts w:ascii="Times New Roman" w:eastAsia="方正黑体_GBK" w:cs="Times New Roman"/>
          <w:snapToGrid w:val="0"/>
          <w:kern w:val="0"/>
        </w:rPr>
        <w:t>二、二级消防安全重点单位（县、市、区消防救援大队列管）</w:t>
      </w:r>
    </w:p>
    <w:p w14:paraId="037DFFEF">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（一）宾馆、饭店、商场、集贸市场、体育场馆、会堂、公共娱乐场所等公众聚集场所</w:t>
      </w:r>
    </w:p>
    <w:p w14:paraId="22B9D225">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1.建筑面积在2000平方米（含本数，下同）以上且经营可燃商品的商场、集贸市场。</w:t>
      </w:r>
    </w:p>
    <w:p w14:paraId="4C2E6AAC">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2.客房数在100间以上，或客房数在100间以下但设有商场、歌舞娱乐、餐饮场所等且建筑面积大于3000平方米的宾馆、饭店。</w:t>
      </w:r>
    </w:p>
    <w:p w14:paraId="0B24B83A">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3.除市级消防救援机构列管的公共体育场馆、会堂。</w:t>
      </w:r>
    </w:p>
    <w:p w14:paraId="1383D431">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4.建筑面积在500平方米以上的下列室内公共娱乐场所：</w:t>
      </w:r>
    </w:p>
    <w:p w14:paraId="467CFEE5">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（1）影剧院、放映厅、礼堂等演出放映场所；</w:t>
      </w:r>
    </w:p>
    <w:p w14:paraId="71B7D017">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（2）舞厅、KTV等歌舞娱乐场所；</w:t>
      </w:r>
    </w:p>
    <w:p w14:paraId="738E954D">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（3）具有娱乐功能的夜总会、音乐茶座和餐饮场所；</w:t>
      </w:r>
    </w:p>
    <w:p w14:paraId="65BE960C">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（4）游艺、游乐场所。</w:t>
      </w:r>
    </w:p>
    <w:p w14:paraId="30BA3159">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5.建筑面积在1000平方米以上的足浴、美容院、桑拿浴室（洗浴部分面积除外）等营业性健身、休闲场所。</w:t>
      </w:r>
    </w:p>
    <w:p w14:paraId="79FB0CDF">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（二）医院、养老院和寄宿制的学校托儿所、幼儿园</w:t>
      </w:r>
    </w:p>
    <w:p w14:paraId="146941C2">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1.住院床位在300张以上的医疗保健机构。</w:t>
      </w:r>
    </w:p>
    <w:p w14:paraId="1AEEA75A">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2.住宿床位在300张以上的养老院、福利院。</w:t>
      </w:r>
    </w:p>
    <w:p w14:paraId="095231A2">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3.学生住宿床位在500张以上的学校。</w:t>
      </w:r>
    </w:p>
    <w:p w14:paraId="6FF23D4B">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4.幼儿住宿床位在300张以上的托儿所、幼儿园。</w:t>
      </w:r>
    </w:p>
    <w:p w14:paraId="66F17752">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（三）国家机关</w:t>
      </w:r>
    </w:p>
    <w:p w14:paraId="29F4E82D">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1.县级以上的党委、人大、政府、政协。</w:t>
      </w:r>
    </w:p>
    <w:p w14:paraId="3100BC9E">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2.县级以上的人民检察院、人民法院。</w:t>
      </w:r>
    </w:p>
    <w:p w14:paraId="0762ABAA">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spacing w:val="-4"/>
          <w:kern w:val="0"/>
        </w:rPr>
      </w:pPr>
      <w:r>
        <w:rPr>
          <w:rFonts w:ascii="Times New Roman" w:eastAsia="方正仿宋_GBK" w:cs="Times New Roman"/>
          <w:snapToGrid w:val="0"/>
          <w:kern w:val="0"/>
        </w:rPr>
        <w:t>3.</w:t>
      </w:r>
      <w:r>
        <w:rPr>
          <w:rFonts w:ascii="Times New Roman" w:eastAsia="方正仿宋_GBK" w:cs="Times New Roman"/>
          <w:snapToGrid w:val="0"/>
          <w:spacing w:val="-4"/>
          <w:kern w:val="0"/>
        </w:rPr>
        <w:t>火灾载荷较大、有较大社会影响的其他县级国家机关。</w:t>
      </w:r>
    </w:p>
    <w:p w14:paraId="513408C6">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（四）广播、电视和邮政、通信枢纽</w:t>
      </w:r>
    </w:p>
    <w:p w14:paraId="13AE9B45">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1.县级以上广播电台、电视台。</w:t>
      </w:r>
    </w:p>
    <w:p w14:paraId="13440588">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2.县级以上邮政、通信枢纽单位。</w:t>
      </w:r>
    </w:p>
    <w:p w14:paraId="6D341375">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（五）客运车站、码头、民用机场</w:t>
      </w:r>
    </w:p>
    <w:p w14:paraId="3D66501D">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1.建筑面积在500平方米以上的客运车站侯车厅、客运码头候船厅。</w:t>
      </w:r>
    </w:p>
    <w:p w14:paraId="7E781EF5">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2.民用机场航站楼。</w:t>
      </w:r>
    </w:p>
    <w:p w14:paraId="48312138">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（六）公共图书馆、展览馆、博物馆、档案馆以及具有火灾危险性的文物保护单位</w:t>
      </w:r>
    </w:p>
    <w:p w14:paraId="20D8907F">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1.建筑面积在2000平方米以上的公共图书馆、展览馆。</w:t>
      </w:r>
    </w:p>
    <w:p w14:paraId="21823347">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2.公共博物馆、档案馆。</w:t>
      </w:r>
    </w:p>
    <w:p w14:paraId="17A9D5E6">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3.具有火灾危险性的县级以上文物保护单位。</w:t>
      </w:r>
    </w:p>
    <w:p w14:paraId="798FEDE0">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（七）除市级消防救援机构列管的发电厂（站）和电网经营企业</w:t>
      </w:r>
    </w:p>
    <w:p w14:paraId="2AE8A1E7">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（八）易燃易爆化学物品的生产、充装、储存、供应、销售单位</w:t>
      </w:r>
    </w:p>
    <w:p w14:paraId="6085A223">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1.生产易燃易爆化学物品的工厂。</w:t>
      </w:r>
    </w:p>
    <w:p w14:paraId="3891FC9E">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2.储量超过5000立方米的易燃易爆气体和液体的灌装站、调压站。</w:t>
      </w:r>
    </w:p>
    <w:p w14:paraId="5DADFC2B">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3.储量超过500公斤的易燃易爆化学物品的专用仓库（堆场、储罐场所）。</w:t>
      </w:r>
    </w:p>
    <w:p w14:paraId="513E1A6B">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4.其他火灾载荷较大、有较大社会影响的营业性加油站、加气站，液化石油气供应站。</w:t>
      </w:r>
    </w:p>
    <w:p w14:paraId="6B9C8796">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5.经营易燃易爆化学物品的化工商店：</w:t>
      </w:r>
    </w:p>
    <w:p w14:paraId="5336AA6C">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（1）经营甲、乙类易燃易爆化学物品，站内总存量500公斤或10立方米以上的商店；</w:t>
      </w:r>
    </w:p>
    <w:p w14:paraId="7E8DBE08">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（2）经营甲、乙类易燃易爆化学物品营业面积在500平方米以上的商店。</w:t>
      </w:r>
    </w:p>
    <w:p w14:paraId="2FDC2B58">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黑体" w:cs="Times New Roman"/>
          <w:snapToGrid w:val="0"/>
          <w:kern w:val="0"/>
        </w:rPr>
      </w:pPr>
      <w:r>
        <w:rPr>
          <w:rFonts w:ascii="Times New Roman" w:eastAsia="方正楷体_GBK" w:cs="Times New Roman"/>
          <w:snapToGrid w:val="0"/>
          <w:color w:val="000000"/>
          <w:kern w:val="0"/>
          <w:shd w:val="clear" w:color="auto" w:fill="FFFFFF"/>
        </w:rPr>
        <w:t>（九）单个生产车间员工在300人以上劳动密集型生产、加工企业</w:t>
      </w:r>
    </w:p>
    <w:p w14:paraId="5D1208EF">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（十）火灾载荷较大、有较大社会影响的省级科研单位。</w:t>
      </w:r>
    </w:p>
    <w:p w14:paraId="2E431DA9">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（十一）高层公共建筑、地下铁道、地下观光隧道，粮、棉、木材、百货等物资仓库和堆场</w:t>
      </w:r>
    </w:p>
    <w:p w14:paraId="41A66893">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1.高层公共建筑建筑高度在50米以上的办公楼（写字楼）、公寓楼等。</w:t>
      </w:r>
    </w:p>
    <w:p w14:paraId="4A594A84">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2.除市级消防救援机构列管的城市地下铁道、地下观光隧道等地下公共建筑和城市重要的交通隧道。</w:t>
      </w:r>
    </w:p>
    <w:p w14:paraId="3E054522">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3.国家储备粮库、总储量在30000吨以上的其他粮库。</w:t>
      </w:r>
    </w:p>
    <w:p w14:paraId="1F6441DB">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4.总储量在1500吨以上的棉库。</w:t>
      </w:r>
    </w:p>
    <w:p w14:paraId="7941B492">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5.总储量在30000立方米以上的木材堆场。</w:t>
      </w:r>
    </w:p>
    <w:p w14:paraId="088456FD">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6.总储存价值在15000万元以上的可燃物品仓库、堆场。</w:t>
      </w:r>
    </w:p>
    <w:p w14:paraId="606A7519">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hint="eastAsia" w:ascii="Times New Roman" w:eastAsia="方正仿宋_GBK" w:cs="Times New Roman"/>
          <w:snapToGrid w:val="0"/>
          <w:kern w:val="0"/>
        </w:rPr>
      </w:pPr>
      <w:r>
        <w:rPr>
          <w:rFonts w:ascii="Times New Roman" w:eastAsia="方正仿宋_GBK" w:cs="Times New Roman"/>
          <w:snapToGrid w:val="0"/>
          <w:kern w:val="0"/>
        </w:rPr>
        <w:t>7.省级重点建筑工程的施工现场。</w:t>
      </w:r>
    </w:p>
    <w:p w14:paraId="794AA87B">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hint="eastAsia" w:ascii="Times New Roman" w:eastAsia="方正楷体_GBK" w:cs="Times New Roman"/>
          <w:snapToGrid w:val="0"/>
          <w:color w:val="000000"/>
          <w:kern w:val="0"/>
          <w:shd w:val="clear" w:color="auto" w:fill="FFFFFF"/>
        </w:rPr>
      </w:pPr>
      <w:r>
        <w:rPr>
          <w:rFonts w:hint="eastAsia" w:ascii="Times New Roman" w:eastAsia="方正楷体_GBK" w:cs="Times New Roman"/>
          <w:snapToGrid w:val="0"/>
          <w:color w:val="000000"/>
          <w:kern w:val="0"/>
          <w:shd w:val="clear" w:color="auto" w:fill="FFFFFF"/>
        </w:rPr>
        <w:t>（十二）</w:t>
      </w:r>
      <w:r>
        <w:rPr>
          <w:rFonts w:ascii="Times New Roman" w:eastAsia="方正楷体_GBK" w:cs="Times New Roman"/>
          <w:snapToGrid w:val="0"/>
          <w:color w:val="000000"/>
          <w:kern w:val="0"/>
          <w:shd w:val="clear" w:color="auto" w:fill="FFFFFF"/>
        </w:rPr>
        <w:t>按照《河南省消防救援总队关于将有关场所和单位纳入消防安全重点单位界定标准的通知》（豫消〔2023〕90号），总队决定在原消防安全重点单位界定标准的基础上增加下列场所和单位：</w:t>
      </w:r>
    </w:p>
    <w:p w14:paraId="543E770E">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一、建筑面积在500平方米以上的剧本杀、密室逃脱等剧本娱乐经营场所；</w:t>
      </w:r>
    </w:p>
    <w:p w14:paraId="757CAF8C">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二、建筑面积在1000平方米以上的室内冰雪活动场所；</w:t>
      </w:r>
    </w:p>
    <w:p w14:paraId="6472CC95">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三、住宿床位在50张以上的月子中心等孕婴服务场所；</w:t>
      </w:r>
    </w:p>
    <w:p w14:paraId="6BE87BDE">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四、县级以上数据中心；</w:t>
      </w:r>
    </w:p>
    <w:p w14:paraId="0E790E64">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五、4A级以上具有建筑火灾危险性的旅游景区；</w:t>
      </w:r>
    </w:p>
    <w:p w14:paraId="5042D435">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六、功率为30MW且容量为30MW·h及以上的电化学储能电站；</w:t>
      </w:r>
    </w:p>
    <w:p w14:paraId="7FA1D56B">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七、同一建筑内存在多个服装、鞋帽、玩具、木制品、家具、塑料、食品加工、纺织、印染、印刷产品等企业且生产车间员工总人数在100人以上的建筑产权或管理单位；</w:t>
      </w:r>
    </w:p>
    <w:p w14:paraId="2E38F0F3">
      <w:pPr>
        <w:pStyle w:val="2"/>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hAnsi="Times New Roman" w:eastAsia="方正仿宋_GBK"/>
          <w:color w:val="000000"/>
          <w:szCs w:val="32"/>
        </w:rPr>
      </w:pPr>
      <w:r>
        <w:rPr>
          <w:rFonts w:ascii="Times New Roman" w:hAnsi="Times New Roman" w:eastAsia="方正仿宋_GBK"/>
          <w:color w:val="000000"/>
          <w:szCs w:val="32"/>
        </w:rPr>
        <w:t>八、存储型物流建筑单体面积在5000平方米以上，作业型物流建筑、综合型物流建筑单体面积在10000平方米以上的企业。</w:t>
      </w:r>
    </w:p>
    <w:p w14:paraId="24230011">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w:t>
      </w:r>
      <w:r>
        <w:rPr>
          <w:rFonts w:hint="eastAsia" w:ascii="Times New Roman" w:eastAsia="方正楷体_GBK" w:cs="Times New Roman"/>
          <w:snapToGrid w:val="0"/>
          <w:color w:val="000000"/>
          <w:kern w:val="0"/>
          <w:shd w:val="clear" w:color="auto" w:fill="FFFFFF"/>
        </w:rPr>
        <w:t>三</w:t>
      </w:r>
      <w:r>
        <w:rPr>
          <w:rFonts w:ascii="Times New Roman" w:eastAsia="方正楷体_GBK" w:cs="Times New Roman"/>
          <w:snapToGrid w:val="0"/>
          <w:color w:val="000000"/>
          <w:kern w:val="0"/>
          <w:shd w:val="clear" w:color="auto" w:fill="FFFFFF"/>
        </w:rPr>
        <w:t>）其他需要县级消防救援机构认定为二级消防安全重点单位的。</w:t>
      </w:r>
    </w:p>
    <w:p w14:paraId="2B59C05D">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黑体_GBK" w:cs="Times New Roman"/>
          <w:snapToGrid w:val="0"/>
          <w:color w:val="000000"/>
          <w:kern w:val="0"/>
          <w:shd w:val="clear" w:color="auto" w:fill="FFFFFF"/>
        </w:rPr>
      </w:pPr>
      <w:r>
        <w:rPr>
          <w:rFonts w:ascii="Times New Roman" w:eastAsia="方正黑体_GBK" w:cs="Times New Roman"/>
          <w:snapToGrid w:val="0"/>
          <w:color w:val="000000"/>
          <w:kern w:val="0"/>
          <w:shd w:val="clear" w:color="auto" w:fill="FFFFFF"/>
        </w:rPr>
        <w:t>三、三级消防安全重点单位（公安派出所列管）</w:t>
      </w:r>
    </w:p>
    <w:p w14:paraId="7AD6EA47">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（一）本辖区内同时满足下列条件的单位和场所；</w:t>
      </w:r>
    </w:p>
    <w:p w14:paraId="7EDBD6A1">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1.符合《河南省消防安全重点单位界定标准》；</w:t>
      </w:r>
    </w:p>
    <w:p w14:paraId="3ED83C6C">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2.不符合一级消防安全界定标准和二级消防安全界定标准；</w:t>
      </w:r>
    </w:p>
    <w:p w14:paraId="0005988E">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3.设有自动消防设施且功能复杂的社会单位不得列为三级消防安全重点单位。</w:t>
      </w:r>
    </w:p>
    <w:p w14:paraId="25CFA391">
      <w:pPr>
        <w:keepNext w:val="0"/>
        <w:keepLines w:val="0"/>
        <w:pageBreakBefore w:val="0"/>
        <w:widowControl w:val="0"/>
        <w:kinsoku/>
        <w:wordWrap/>
        <w:overflowPunct/>
        <w:autoSpaceDE/>
        <w:autoSpaceDN/>
        <w:bidi w:val="0"/>
        <w:adjustRightInd w:val="0"/>
        <w:snapToGrid w:val="0"/>
        <w:spacing w:line="240" w:lineRule="auto"/>
        <w:ind w:firstLine="640" w:firstLineChars="200"/>
        <w:textAlignment w:val="auto"/>
        <w:rPr>
          <w:rFonts w:ascii="Times New Roman" w:eastAsia="方正黑体_GBK" w:cs="Times New Roman"/>
          <w:snapToGrid w:val="0"/>
          <w:kern w:val="0"/>
          <w:shd w:val="clear" w:color="auto" w:fill="FFFFFF"/>
        </w:rPr>
      </w:pPr>
      <w:r>
        <w:rPr>
          <w:rFonts w:ascii="Times New Roman" w:eastAsia="方正楷体_GBK" w:cs="Times New Roman"/>
          <w:snapToGrid w:val="0"/>
          <w:color w:val="000000"/>
          <w:kern w:val="0"/>
          <w:shd w:val="clear" w:color="auto" w:fill="FFFFFF"/>
        </w:rPr>
        <w:t>（二）其他发生火灾可能性较大以及一旦发生火灾可能造成人身重大伤亡或者财产重大损失的单位和需要公安机关认定为三级消防安全重点单位的。</w:t>
      </w:r>
    </w:p>
    <w:p w14:paraId="3216CEB8">
      <w:pPr>
        <w:keepNext w:val="0"/>
        <w:keepLines w:val="0"/>
        <w:pageBreakBefore w:val="0"/>
        <w:widowControl w:val="0"/>
        <w:kinsoku/>
        <w:wordWrap/>
        <w:overflowPunct/>
        <w:autoSpaceDE/>
        <w:autoSpaceDN/>
        <w:bidi w:val="0"/>
        <w:adjustRightInd w:val="0"/>
        <w:snapToGrid w:val="0"/>
        <w:spacing w:line="240" w:lineRule="auto"/>
        <w:textAlignment w:val="auto"/>
        <w:rPr>
          <w:rFonts w:ascii="Times New Roman" w:eastAsia="方正黑体_GBK" w:cs="Times New Roman"/>
          <w:snapToGrid w:val="0"/>
          <w:kern w:val="0"/>
          <w:shd w:val="clear" w:color="auto" w:fill="FFFFFF"/>
        </w:rPr>
      </w:pPr>
      <w:r>
        <w:rPr>
          <w:rFonts w:ascii="Times New Roman" w:eastAsia="方正黑体_GBK" w:cs="Times New Roman"/>
          <w:snapToGrid w:val="0"/>
          <w:kern w:val="0"/>
          <w:shd w:val="clear" w:color="auto" w:fill="FFFFFF"/>
        </w:rPr>
        <w:t>说明：</w:t>
      </w:r>
    </w:p>
    <w:p w14:paraId="297F5626">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1.对于符合三级消防安全重点单位标准的单位，如果设有自动消防设施且功能复杂同时设有独立消防控制室，应列为二级消防安全重点单位。</w:t>
      </w:r>
    </w:p>
    <w:p w14:paraId="3160D02F">
      <w:pPr>
        <w:keepNext w:val="0"/>
        <w:keepLines w:val="0"/>
        <w:pageBreakBefore w:val="0"/>
        <w:widowControl w:val="0"/>
        <w:kinsoku/>
        <w:wordWrap/>
        <w:overflowPunct/>
        <w:topLinePunct/>
        <w:autoSpaceDE/>
        <w:autoSpaceDN/>
        <w:bidi w:val="0"/>
        <w:adjustRightInd w:val="0"/>
        <w:snapToGrid w:val="0"/>
        <w:spacing w:line="240" w:lineRule="auto"/>
        <w:ind w:firstLine="640" w:firstLineChars="200"/>
        <w:jc w:val="left"/>
        <w:textAlignment w:val="auto"/>
        <w:rPr>
          <w:rFonts w:ascii="Times New Roman" w:eastAsia="方正仿宋_GBK" w:cs="Times New Roman"/>
          <w:snapToGrid w:val="0"/>
          <w:kern w:val="0"/>
        </w:rPr>
      </w:pPr>
      <w:r>
        <w:rPr>
          <w:rFonts w:ascii="Times New Roman" w:eastAsia="方正仿宋_GBK" w:cs="Times New Roman"/>
          <w:snapToGrid w:val="0"/>
          <w:kern w:val="0"/>
        </w:rPr>
        <w:t>2.在一个符合界定标准的单位或建筑物内另有符合界定标准而法人不同的单位，可分别算为消防安全重点单位，法人相同但多家承包。租赁的可算为一个消防安全重点单位。</w:t>
      </w:r>
    </w:p>
    <w:p w14:paraId="6331681E">
      <w:pPr>
        <w:spacing w:line="560" w:lineRule="exact"/>
        <w:ind w:firstLine="5760" w:firstLineChars="1800"/>
        <w:rPr>
          <w:rFonts w:hint="eastAsia" w:ascii="Times New Roman" w:cs="Times New Roman"/>
        </w:rPr>
      </w:pPr>
    </w:p>
    <w:p w14:paraId="2DB1C559">
      <w:pPr>
        <w:spacing w:line="560" w:lineRule="exact"/>
        <w:ind w:firstLine="5760" w:firstLineChars="1800"/>
        <w:rPr>
          <w:rFonts w:hint="eastAsia" w:ascii="Times New Roman" w:cs="Times New Roman"/>
        </w:rPr>
      </w:pPr>
    </w:p>
    <w:p w14:paraId="3360ED56">
      <w:pPr>
        <w:spacing w:line="560" w:lineRule="exact"/>
        <w:ind w:firstLine="5760" w:firstLineChars="1800"/>
        <w:rPr>
          <w:rFonts w:hint="eastAsia" w:ascii="Times New Roman" w:cs="Times New Roman"/>
        </w:rPr>
      </w:pPr>
    </w:p>
    <w:p w14:paraId="4F2D04B8">
      <w:pPr>
        <w:spacing w:line="560" w:lineRule="exact"/>
        <w:ind w:firstLine="5760" w:firstLineChars="1800"/>
        <w:rPr>
          <w:rFonts w:hint="eastAsia" w:ascii="Times New Roman" w:cs="Times New Roman"/>
        </w:rPr>
      </w:pPr>
    </w:p>
    <w:p w14:paraId="61E8A398">
      <w:pPr>
        <w:spacing w:line="560" w:lineRule="exact"/>
        <w:ind w:firstLine="5760" w:firstLineChars="1800"/>
        <w:rPr>
          <w:rFonts w:hint="eastAsia" w:ascii="Times New Roman" w:cs="Times New Roman"/>
        </w:rPr>
      </w:pPr>
    </w:p>
    <w:p w14:paraId="22D6576F">
      <w:pPr>
        <w:spacing w:line="560" w:lineRule="exact"/>
        <w:ind w:firstLine="5760" w:firstLineChars="1800"/>
        <w:rPr>
          <w:rFonts w:hint="eastAsia" w:ascii="Times New Roman" w:cs="Times New Roman"/>
        </w:rPr>
      </w:pPr>
    </w:p>
    <w:p w14:paraId="68D9AD8F">
      <w:pPr>
        <w:snapToGrid w:val="0"/>
        <w:spacing w:line="440" w:lineRule="exact"/>
        <w:rPr>
          <w:rFonts w:ascii="Times New Roman" w:cs="Times New Roman"/>
        </w:rPr>
      </w:pPr>
      <w:bookmarkStart w:id="0" w:name="_GoBack"/>
      <w:bookmarkEnd w:id="0"/>
    </w:p>
    <w:sectPr>
      <w:footerReference r:id="rId3" w:type="default"/>
      <w:footerReference r:id="rId4" w:type="even"/>
      <w:pgSz w:w="11906" w:h="16838"/>
      <w:pgMar w:top="1417" w:right="1417" w:bottom="1417" w:left="141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docPartObj>
        <w:docPartGallery w:val="autotext"/>
      </w:docPartObj>
    </w:sdtPr>
    <w:sdtEndPr>
      <w:rPr>
        <w:rFonts w:ascii="Times New Roman" w:cs="Times New Roman"/>
        <w:sz w:val="28"/>
        <w:szCs w:val="28"/>
      </w:rPr>
    </w:sdtEndPr>
    <w:sdtContent>
      <w:p w14:paraId="4CC68B5D">
        <w:pPr>
          <w:pStyle w:val="4"/>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17</w:t>
        </w:r>
        <w:r>
          <w:rPr>
            <w:rFonts w:ascii="Times New Roman" w:cs="Times New Roman"/>
            <w:sz w:val="28"/>
            <w:szCs w:val="28"/>
          </w:rPr>
          <w:fldChar w:fldCharType="end"/>
        </w:r>
        <w:r>
          <w:rPr>
            <w:rFonts w:asci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B9DF">
    <w:pPr>
      <w:pStyle w:val="4"/>
      <w:rPr>
        <w:rFonts w:asci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jdlNDQ2OTVkMmQ5NjlmZmY4OTVlMTlhYjY0YjgifQ=="/>
  </w:docVars>
  <w:rsids>
    <w:rsidRoot w:val="00EE1024"/>
    <w:rsid w:val="00025978"/>
    <w:rsid w:val="00056F34"/>
    <w:rsid w:val="00065E3E"/>
    <w:rsid w:val="00091C3F"/>
    <w:rsid w:val="000B6D62"/>
    <w:rsid w:val="000C4BD6"/>
    <w:rsid w:val="000E29B7"/>
    <w:rsid w:val="000E43FA"/>
    <w:rsid w:val="000F0828"/>
    <w:rsid w:val="000F39FE"/>
    <w:rsid w:val="000F74BF"/>
    <w:rsid w:val="00137297"/>
    <w:rsid w:val="00146081"/>
    <w:rsid w:val="001555BA"/>
    <w:rsid w:val="00171A97"/>
    <w:rsid w:val="0017756F"/>
    <w:rsid w:val="00181769"/>
    <w:rsid w:val="00191EF4"/>
    <w:rsid w:val="001A01E9"/>
    <w:rsid w:val="001C53E7"/>
    <w:rsid w:val="001D2307"/>
    <w:rsid w:val="001E607E"/>
    <w:rsid w:val="001F31C8"/>
    <w:rsid w:val="001F4F03"/>
    <w:rsid w:val="00206F50"/>
    <w:rsid w:val="002379D2"/>
    <w:rsid w:val="00244469"/>
    <w:rsid w:val="002647BB"/>
    <w:rsid w:val="00281D42"/>
    <w:rsid w:val="0028550D"/>
    <w:rsid w:val="00297AE1"/>
    <w:rsid w:val="002D21C2"/>
    <w:rsid w:val="002F62BD"/>
    <w:rsid w:val="003014D2"/>
    <w:rsid w:val="0031149F"/>
    <w:rsid w:val="00330475"/>
    <w:rsid w:val="00331747"/>
    <w:rsid w:val="003815F2"/>
    <w:rsid w:val="00385A33"/>
    <w:rsid w:val="00396B83"/>
    <w:rsid w:val="003B7F64"/>
    <w:rsid w:val="003C49F6"/>
    <w:rsid w:val="003C729E"/>
    <w:rsid w:val="003E4BC3"/>
    <w:rsid w:val="00403078"/>
    <w:rsid w:val="004035FF"/>
    <w:rsid w:val="004400A6"/>
    <w:rsid w:val="00442338"/>
    <w:rsid w:val="00451BC8"/>
    <w:rsid w:val="004839F9"/>
    <w:rsid w:val="004B6C66"/>
    <w:rsid w:val="004C595F"/>
    <w:rsid w:val="004D12F8"/>
    <w:rsid w:val="004D7E17"/>
    <w:rsid w:val="004E5F32"/>
    <w:rsid w:val="00517CA6"/>
    <w:rsid w:val="00567A57"/>
    <w:rsid w:val="0057591D"/>
    <w:rsid w:val="005D2243"/>
    <w:rsid w:val="005D653B"/>
    <w:rsid w:val="005E5E6C"/>
    <w:rsid w:val="00622A6C"/>
    <w:rsid w:val="00623964"/>
    <w:rsid w:val="00624B91"/>
    <w:rsid w:val="00624C9B"/>
    <w:rsid w:val="00627BA7"/>
    <w:rsid w:val="00646E7E"/>
    <w:rsid w:val="00664BCE"/>
    <w:rsid w:val="00670DBA"/>
    <w:rsid w:val="0067379C"/>
    <w:rsid w:val="00685247"/>
    <w:rsid w:val="0068527F"/>
    <w:rsid w:val="0069715A"/>
    <w:rsid w:val="006A0D1E"/>
    <w:rsid w:val="006D104C"/>
    <w:rsid w:val="006E4468"/>
    <w:rsid w:val="0070316A"/>
    <w:rsid w:val="00750FC2"/>
    <w:rsid w:val="007566D1"/>
    <w:rsid w:val="0077269A"/>
    <w:rsid w:val="007A1B06"/>
    <w:rsid w:val="007A2F41"/>
    <w:rsid w:val="007B79BE"/>
    <w:rsid w:val="007C20E3"/>
    <w:rsid w:val="007D0BB3"/>
    <w:rsid w:val="008019EC"/>
    <w:rsid w:val="00815DF0"/>
    <w:rsid w:val="00846311"/>
    <w:rsid w:val="00856EAE"/>
    <w:rsid w:val="008836EA"/>
    <w:rsid w:val="008C1E2F"/>
    <w:rsid w:val="008C700D"/>
    <w:rsid w:val="008D456F"/>
    <w:rsid w:val="008E12FB"/>
    <w:rsid w:val="00927090"/>
    <w:rsid w:val="0094689E"/>
    <w:rsid w:val="009B0944"/>
    <w:rsid w:val="009B3675"/>
    <w:rsid w:val="009C6A5E"/>
    <w:rsid w:val="009E48EE"/>
    <w:rsid w:val="009E5762"/>
    <w:rsid w:val="00A00C79"/>
    <w:rsid w:val="00A05E36"/>
    <w:rsid w:val="00A16447"/>
    <w:rsid w:val="00A81AC9"/>
    <w:rsid w:val="00AA6936"/>
    <w:rsid w:val="00AB21EF"/>
    <w:rsid w:val="00AE76D8"/>
    <w:rsid w:val="00AF30B0"/>
    <w:rsid w:val="00B138D1"/>
    <w:rsid w:val="00B1470C"/>
    <w:rsid w:val="00B2468C"/>
    <w:rsid w:val="00B33528"/>
    <w:rsid w:val="00B53BF2"/>
    <w:rsid w:val="00B57610"/>
    <w:rsid w:val="00B94816"/>
    <w:rsid w:val="00BA3DBC"/>
    <w:rsid w:val="00BA6719"/>
    <w:rsid w:val="00BA7B96"/>
    <w:rsid w:val="00BC1651"/>
    <w:rsid w:val="00BD3574"/>
    <w:rsid w:val="00BD6EE2"/>
    <w:rsid w:val="00BF5FE7"/>
    <w:rsid w:val="00C02199"/>
    <w:rsid w:val="00C612F7"/>
    <w:rsid w:val="00C71FD6"/>
    <w:rsid w:val="00C85131"/>
    <w:rsid w:val="00C864C4"/>
    <w:rsid w:val="00CB1E7F"/>
    <w:rsid w:val="00CB5966"/>
    <w:rsid w:val="00CD5C8D"/>
    <w:rsid w:val="00CE32E7"/>
    <w:rsid w:val="00CF054A"/>
    <w:rsid w:val="00D140FA"/>
    <w:rsid w:val="00D6169E"/>
    <w:rsid w:val="00D62CBA"/>
    <w:rsid w:val="00D63259"/>
    <w:rsid w:val="00DA684A"/>
    <w:rsid w:val="00DB28A0"/>
    <w:rsid w:val="00DB2D31"/>
    <w:rsid w:val="00DB3FA2"/>
    <w:rsid w:val="00DF7244"/>
    <w:rsid w:val="00E11E2F"/>
    <w:rsid w:val="00E3553B"/>
    <w:rsid w:val="00E43FDD"/>
    <w:rsid w:val="00E60619"/>
    <w:rsid w:val="00E77C87"/>
    <w:rsid w:val="00E8038A"/>
    <w:rsid w:val="00EB3872"/>
    <w:rsid w:val="00EB55CF"/>
    <w:rsid w:val="00EB72D7"/>
    <w:rsid w:val="00EC2A78"/>
    <w:rsid w:val="00EE1024"/>
    <w:rsid w:val="00EF170D"/>
    <w:rsid w:val="00F12C63"/>
    <w:rsid w:val="00F17047"/>
    <w:rsid w:val="00F2573A"/>
    <w:rsid w:val="00F263AF"/>
    <w:rsid w:val="00F35A5E"/>
    <w:rsid w:val="00F63EB2"/>
    <w:rsid w:val="00F84CCA"/>
    <w:rsid w:val="00F962E6"/>
    <w:rsid w:val="00FD4A57"/>
    <w:rsid w:val="00FD5592"/>
    <w:rsid w:val="00FE2438"/>
    <w:rsid w:val="00FE74AB"/>
    <w:rsid w:val="00FF6A41"/>
    <w:rsid w:val="00FF78B8"/>
    <w:rsid w:val="10A65B52"/>
    <w:rsid w:val="12445622"/>
    <w:rsid w:val="156C17C8"/>
    <w:rsid w:val="1BAD1E37"/>
    <w:rsid w:val="25E13080"/>
    <w:rsid w:val="35CE3D0B"/>
    <w:rsid w:val="4A347CF2"/>
    <w:rsid w:val="53C02191"/>
    <w:rsid w:val="5A220380"/>
    <w:rsid w:val="603E4A2C"/>
    <w:rsid w:val="64C44039"/>
    <w:rsid w:val="674C108B"/>
    <w:rsid w:val="7F89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6"/>
    <w:qFormat/>
    <w:uiPriority w:val="0"/>
    <w:pPr>
      <w:ind w:firstLine="640" w:firstLineChars="200"/>
    </w:pPr>
    <w:rPr>
      <w:rFonts w:hAnsi="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仿宋_GB2312" w:hAnsi="Times New Roman" w:eastAsia="仿宋_GB2312" w:cs="仿宋_GB2312"/>
      <w:sz w:val="18"/>
      <w:szCs w:val="18"/>
    </w:rPr>
  </w:style>
  <w:style w:type="character" w:customStyle="1" w:styleId="9">
    <w:name w:val="页脚 Char"/>
    <w:basedOn w:val="7"/>
    <w:link w:val="4"/>
    <w:uiPriority w:val="99"/>
    <w:rPr>
      <w:rFonts w:ascii="仿宋_GB2312" w:hAnsi="Times New Roman" w:eastAsia="仿宋_GB2312" w:cs="仿宋_GB2312"/>
      <w:sz w:val="18"/>
      <w:szCs w:val="18"/>
    </w:rPr>
  </w:style>
  <w:style w:type="character" w:customStyle="1" w:styleId="10">
    <w:name w:val="批注框文本 Char"/>
    <w:basedOn w:val="7"/>
    <w:link w:val="3"/>
    <w:semiHidden/>
    <w:uiPriority w:val="99"/>
    <w:rPr>
      <w:rFonts w:ascii="仿宋_GB2312" w:hAnsi="Times New Roman" w:eastAsia="仿宋_GB2312" w:cs="仿宋_GB2312"/>
      <w:sz w:val="18"/>
      <w:szCs w:val="18"/>
    </w:rPr>
  </w:style>
  <w:style w:type="paragraph" w:customStyle="1" w:styleId="11">
    <w:name w:val="Char"/>
    <w:basedOn w:val="1"/>
    <w:qFormat/>
    <w:uiPriority w:val="0"/>
    <w:pPr>
      <w:widowControl/>
      <w:spacing w:after="160" w:line="240" w:lineRule="exact"/>
      <w:jc w:val="left"/>
    </w:pPr>
    <w:rPr>
      <w:rFonts w:ascii="Times New Roman" w:eastAsia="宋体" w:cs="Times New Roman"/>
      <w:sz w:val="21"/>
      <w:szCs w:val="24"/>
    </w:rPr>
  </w:style>
  <w:style w:type="character" w:customStyle="1" w:styleId="12">
    <w:name w:val="正文常用 Char"/>
    <w:link w:val="13"/>
    <w:locked/>
    <w:uiPriority w:val="0"/>
    <w:rPr>
      <w:rFonts w:ascii="方正仿宋_GBK" w:eastAsia="方正仿宋_GBK"/>
      <w:kern w:val="2"/>
      <w:sz w:val="32"/>
      <w:szCs w:val="32"/>
    </w:rPr>
  </w:style>
  <w:style w:type="paragraph" w:customStyle="1" w:styleId="13">
    <w:name w:val="正文常用"/>
    <w:basedOn w:val="1"/>
    <w:link w:val="12"/>
    <w:uiPriority w:val="0"/>
    <w:pPr>
      <w:spacing w:line="570" w:lineRule="exact"/>
      <w:ind w:firstLine="200" w:firstLineChars="200"/>
    </w:pPr>
    <w:rPr>
      <w:rFonts w:ascii="方正仿宋_GBK" w:eastAsia="方正仿宋_GBK" w:hAnsiTheme="minorHAnsi" w:cstheme="minorBidi"/>
    </w:rPr>
  </w:style>
  <w:style w:type="paragraph" w:styleId="14">
    <w:name w:val="List Paragraph"/>
    <w:basedOn w:val="1"/>
    <w:unhideWhenUsed/>
    <w:qFormat/>
    <w:uiPriority w:val="99"/>
    <w:pPr>
      <w:ind w:firstLine="420" w:firstLineChars="200"/>
    </w:pPr>
  </w:style>
  <w:style w:type="paragraph" w:customStyle="1" w:styleId="15">
    <w:name w:val="Char Char Char1 Char"/>
    <w:basedOn w:val="1"/>
    <w:qFormat/>
    <w:uiPriority w:val="0"/>
    <w:pPr>
      <w:widowControl/>
      <w:spacing w:after="160" w:line="240" w:lineRule="exact"/>
      <w:jc w:val="left"/>
    </w:pPr>
    <w:rPr>
      <w:rFonts w:ascii="Times New Roman" w:cs="Times New Roman"/>
    </w:rPr>
  </w:style>
  <w:style w:type="character" w:customStyle="1" w:styleId="16">
    <w:name w:val="正文文本缩进 2 Char"/>
    <w:basedOn w:val="7"/>
    <w:link w:val="2"/>
    <w:qFormat/>
    <w:uiPriority w:val="0"/>
    <w:rPr>
      <w:rFonts w:ascii="仿宋_GB2312" w:hAnsi="宋体" w:eastAsia="仿宋_GB2312"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5414-0CB4-4542-913C-E33A0E1C51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4943</Words>
  <Characters>5360</Characters>
  <Lines>44</Lines>
  <Paragraphs>12</Paragraphs>
  <TotalTime>0</TotalTime>
  <ScaleCrop>false</ScaleCrop>
  <LinksUpToDate>false</LinksUpToDate>
  <CharactersWithSpaces>5567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2024-10-16T00:03:00Z</dcterms:created>
  <dc:creator>406</dc:creator>
  <cp:lastModifiedBy>Administrator</cp:lastModifiedBy>
  <cp:lastPrinted>2024-10-21T02:09:00Z</cp:lastPrinted>
  <dcterms:modified xsi:type="dcterms:W3CDTF">2024-10-22T02:38:17Z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198904BC257C4486A17F11041319A1CB_13</vt:lpwstr>
  </property>
</Properties>
</file>