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before="100" w:beforeAutospacing="1" w:after="100" w:afterAutospacing="1" w:line="560" w:lineRule="atLeas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关于</w:t>
      </w:r>
      <w:r>
        <w:rPr>
          <w:rFonts w:hint="eastAsia" w:asciiTheme="majorEastAsia" w:hAnsiTheme="majorEastAsia" w:eastAsiaTheme="majorEastAsia" w:cstheme="majorEastAsia"/>
          <w:b/>
          <w:sz w:val="44"/>
          <w:szCs w:val="44"/>
          <w:lang w:val="en-US" w:eastAsia="zh-CN"/>
        </w:rPr>
        <w:t>2024年6月20日</w:t>
      </w:r>
      <w:r>
        <w:rPr>
          <w:rFonts w:hint="eastAsia" w:asciiTheme="majorEastAsia" w:hAnsiTheme="majorEastAsia" w:eastAsiaTheme="majorEastAsia" w:cstheme="majorEastAsia"/>
          <w:b/>
          <w:sz w:val="44"/>
          <w:szCs w:val="44"/>
        </w:rPr>
        <w:t>拟对</w:t>
      </w:r>
      <w:bookmarkStart w:id="0" w:name="_Hlk134688585"/>
      <w:r>
        <w:rPr>
          <w:rFonts w:hint="eastAsia" w:asciiTheme="majorEastAsia" w:hAnsiTheme="majorEastAsia" w:eastAsiaTheme="majorEastAsia" w:cstheme="majorEastAsia"/>
          <w:b/>
          <w:sz w:val="44"/>
          <w:szCs w:val="44"/>
        </w:rPr>
        <w:t>河南省人民医院北院区新增一台数字减影血管造影机应用项目</w:t>
      </w:r>
      <w:bookmarkEnd w:id="0"/>
      <w:r>
        <w:rPr>
          <w:rFonts w:hint="eastAsia" w:asciiTheme="majorEastAsia" w:hAnsiTheme="majorEastAsia" w:eastAsiaTheme="majorEastAsia" w:cstheme="majorEastAsia"/>
          <w:b/>
          <w:sz w:val="44"/>
          <w:szCs w:val="44"/>
        </w:rPr>
        <w:t>环境影响评价文件批复意见的公示</w:t>
      </w:r>
    </w:p>
    <w:p>
      <w:pPr>
        <w:autoSpaceDN w:val="0"/>
        <w:spacing w:before="100" w:beforeAutospacing="1" w:after="100" w:afterAutospacing="1" w:line="240" w:lineRule="atLeast"/>
        <w:ind w:firstLine="640" w:firstLineChars="200"/>
        <w:rPr>
          <w:rFonts w:ascii="仿宋_GB2312" w:hAnsi="仿宋_GB2312" w:eastAsia="仿宋_GB2312" w:cs="仿宋_GB2312"/>
          <w:color w:val="2A2A2A"/>
          <w:kern w:val="0"/>
          <w:sz w:val="32"/>
          <w:szCs w:val="32"/>
        </w:rPr>
      </w:pPr>
      <w:r>
        <w:rPr>
          <w:rFonts w:hint="eastAsia" w:ascii="仿宋_GB2312" w:hAnsi="仿宋_GB2312" w:eastAsia="仿宋_GB2312" w:cs="仿宋_GB2312"/>
          <w:sz w:val="32"/>
          <w:szCs w:val="32"/>
        </w:rPr>
        <w:t>根据建设项目环境影响评价审批程序的有关规定，经审议，我局拟对河南省人民医院北院区新增一台数字减影血管造影机应用项目环境影响报告表作出批复意见。为保证此次审议工作的严肃性和公正性，现将该建设项目环境影响报告表的基本情况予以公示。如有异议，请在公示期内反馈我局。</w:t>
      </w:r>
      <w:r>
        <w:rPr>
          <w:rFonts w:hint="eastAsia" w:ascii="仿宋_GB2312" w:hAnsi="仿宋_GB2312" w:eastAsia="仿宋_GB2312" w:cs="仿宋_GB2312"/>
          <w:color w:val="2A2A2A"/>
          <w:kern w:val="0"/>
          <w:sz w:val="32"/>
          <w:szCs w:val="32"/>
        </w:rPr>
        <w:t>公示期限：自本公告发布之日起3个工作日届满。</w:t>
      </w:r>
    </w:p>
    <w:p>
      <w:p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通讯地址：新乡市平原示范区平原大道生态环境局</w:t>
      </w:r>
      <w:bookmarkStart w:id="1" w:name="_GoBack"/>
      <w:bookmarkEnd w:id="1"/>
    </w:p>
    <w:p>
      <w:pPr>
        <w:autoSpaceDN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电话传真</w:t>
      </w:r>
      <w:r>
        <w:rPr>
          <w:rFonts w:hint="eastAsia" w:ascii="仿宋_GB2312" w:hAnsi="仿宋_GB2312" w:eastAsia="仿宋_GB2312" w:cs="仿宋_GB2312"/>
          <w:color w:val="2A2A2A"/>
          <w:kern w:val="0"/>
          <w:sz w:val="32"/>
          <w:szCs w:val="32"/>
        </w:rPr>
        <w:t>：0373-7535</w:t>
      </w:r>
      <w:r>
        <w:rPr>
          <w:rFonts w:hint="eastAsia" w:ascii="仿宋_GB2312" w:hAnsi="仿宋_GB2312" w:eastAsia="仿宋_GB2312" w:cs="仿宋_GB2312"/>
          <w:color w:val="2A2A2A"/>
          <w:kern w:val="0"/>
          <w:sz w:val="32"/>
          <w:szCs w:val="32"/>
          <w:lang w:val="en-US" w:eastAsia="zh-CN"/>
        </w:rPr>
        <w:t>226</w:t>
      </w:r>
    </w:p>
    <w:p>
      <w:p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听证告知：依据《中华人民共和国行政许可法》，自公示起3日内申请人、有重大利益关系的利害关系人可对以下拟作出的建设项目环境影响评价文件批复决定要求听证。</w:t>
      </w:r>
    </w:p>
    <w:p>
      <w:pPr>
        <w:autoSpaceDN w:val="0"/>
        <w:spacing w:line="600" w:lineRule="exact"/>
        <w:ind w:firstLine="640" w:firstLineChars="200"/>
        <w:rPr>
          <w:rFonts w:ascii="仿宋_GB2312" w:hAnsi="仿宋_GB2312" w:eastAsia="仿宋_GB2312" w:cs="仿宋_GB2312"/>
          <w:sz w:val="32"/>
          <w:szCs w:val="32"/>
        </w:rPr>
      </w:pPr>
    </w:p>
    <w:p>
      <w:pPr>
        <w:pStyle w:val="5"/>
        <w:shd w:val="clear" w:color="auto" w:fill="FFFFFF"/>
        <w:spacing w:before="0" w:beforeAutospacing="0" w:after="0" w:afterAutospacing="0" w:line="360" w:lineRule="auto"/>
        <w:jc w:val="center"/>
        <w:rPr>
          <w:rFonts w:ascii="Times New Roman" w:cs="Times New Roman"/>
          <w:color w:val="262626"/>
          <w:sz w:val="28"/>
          <w:highlight w:val="yellow"/>
        </w:rPr>
      </w:pPr>
    </w:p>
    <w:p>
      <w:pPr>
        <w:pStyle w:val="5"/>
        <w:shd w:val="clear" w:color="auto" w:fill="FFFFFF"/>
        <w:spacing w:before="0" w:beforeAutospacing="0" w:after="0" w:afterAutospacing="0" w:line="360" w:lineRule="auto"/>
        <w:jc w:val="center"/>
        <w:rPr>
          <w:rFonts w:ascii="Times New Roman" w:cs="Times New Roman"/>
          <w:color w:val="262626"/>
          <w:sz w:val="28"/>
          <w:highlight w:val="yellow"/>
        </w:rPr>
      </w:pPr>
    </w:p>
    <w:p>
      <w:pPr>
        <w:autoSpaceDN w:val="0"/>
        <w:spacing w:line="600" w:lineRule="exact"/>
        <w:ind w:firstLine="4200" w:firstLineChars="1500"/>
        <w:rPr>
          <w:rFonts w:ascii="仿宋_GB2312" w:hAnsi="仿宋_GB2312" w:eastAsia="仿宋_GB2312" w:cs="仿宋_GB2312"/>
          <w:bCs/>
          <w:sz w:val="28"/>
          <w:szCs w:val="28"/>
        </w:rPr>
      </w:pPr>
    </w:p>
    <w:p>
      <w:pPr>
        <w:autoSpaceDN w:val="0"/>
        <w:spacing w:line="600" w:lineRule="exact"/>
        <w:ind w:firstLine="4200" w:firstLineChars="15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2024年6月20日</w:t>
      </w:r>
      <w:r>
        <w:rPr>
          <w:rFonts w:hint="eastAsia" w:ascii="仿宋_GB2312" w:hAnsi="仿宋_GB2312" w:eastAsia="仿宋_GB2312" w:cs="仿宋_GB2312"/>
          <w:bCs/>
          <w:sz w:val="28"/>
          <w:szCs w:val="28"/>
        </w:rPr>
        <w:t>拟批准的建设项目环境影响报告表</w:t>
      </w:r>
    </w:p>
    <w:p>
      <w:pPr>
        <w:pStyle w:val="5"/>
        <w:shd w:val="clear" w:color="auto" w:fill="FFFFFF"/>
        <w:spacing w:before="0" w:beforeAutospacing="0" w:after="0" w:afterAutospacing="0" w:line="360" w:lineRule="auto"/>
        <w:jc w:val="center"/>
        <w:rPr>
          <w:rFonts w:ascii="Times New Roman" w:cs="Times New Roman"/>
          <w:color w:val="262626"/>
          <w:sz w:val="28"/>
          <w:highlight w:val="yellow"/>
        </w:rPr>
      </w:pPr>
    </w:p>
    <w:tbl>
      <w:tblPr>
        <w:tblStyle w:val="6"/>
        <w:tblW w:w="1401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7"/>
        <w:gridCol w:w="911"/>
        <w:gridCol w:w="1215"/>
        <w:gridCol w:w="1134"/>
        <w:gridCol w:w="1133"/>
        <w:gridCol w:w="4040"/>
        <w:gridCol w:w="3835"/>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trPr>
        <w:tc>
          <w:tcPr>
            <w:tcW w:w="717" w:type="dxa"/>
            <w:tcBorders>
              <w:top w:val="single" w:color="000000" w:sz="8" w:space="0"/>
              <w:left w:val="single" w:color="000000" w:sz="8" w:space="0"/>
              <w:bottom w:val="single" w:color="000000" w:sz="8" w:space="0"/>
              <w:right w:val="single" w:color="000000" w:sz="8" w:space="0"/>
            </w:tcBorders>
            <w:vAlign w:val="center"/>
          </w:tcPr>
          <w:p>
            <w:pPr>
              <w:autoSpaceDN w:val="0"/>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911" w:type="dxa"/>
            <w:tcBorders>
              <w:top w:val="single" w:color="000000" w:sz="8" w:space="0"/>
              <w:left w:val="single" w:color="000000" w:sz="8" w:space="0"/>
              <w:bottom w:val="single" w:color="000000" w:sz="8" w:space="0"/>
              <w:right w:val="single" w:color="000000" w:sz="8" w:space="0"/>
            </w:tcBorders>
            <w:vAlign w:val="center"/>
          </w:tcPr>
          <w:p>
            <w:pPr>
              <w:autoSpaceDN w:val="0"/>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N w:val="0"/>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注册地点</w:t>
            </w:r>
          </w:p>
        </w:tc>
        <w:tc>
          <w:tcPr>
            <w:tcW w:w="1134" w:type="dxa"/>
            <w:tcBorders>
              <w:top w:val="single" w:color="000000" w:sz="8" w:space="0"/>
              <w:left w:val="single" w:color="000000" w:sz="8" w:space="0"/>
              <w:bottom w:val="single" w:color="000000" w:sz="8" w:space="0"/>
              <w:right w:val="single" w:color="000000" w:sz="8" w:space="0"/>
            </w:tcBorders>
            <w:vAlign w:val="center"/>
          </w:tcPr>
          <w:p>
            <w:pPr>
              <w:autoSpaceDN w:val="0"/>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建设单位</w:t>
            </w:r>
          </w:p>
        </w:tc>
        <w:tc>
          <w:tcPr>
            <w:tcW w:w="1133" w:type="dxa"/>
            <w:tcBorders>
              <w:top w:val="single" w:color="000000" w:sz="8" w:space="0"/>
              <w:left w:val="single" w:color="000000" w:sz="8" w:space="0"/>
              <w:bottom w:val="single" w:color="000000" w:sz="8" w:space="0"/>
              <w:right w:val="single" w:color="000000" w:sz="8" w:space="0"/>
            </w:tcBorders>
            <w:vAlign w:val="center"/>
          </w:tcPr>
          <w:p>
            <w:pPr>
              <w:autoSpaceDN w:val="0"/>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环评机构</w:t>
            </w:r>
          </w:p>
        </w:tc>
        <w:tc>
          <w:tcPr>
            <w:tcW w:w="40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建设项目概况</w:t>
            </w:r>
          </w:p>
        </w:tc>
        <w:tc>
          <w:tcPr>
            <w:tcW w:w="38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主要环境影响及预防或减轻不良环境影响的对策和措施</w:t>
            </w:r>
          </w:p>
        </w:tc>
        <w:tc>
          <w:tcPr>
            <w:tcW w:w="1032" w:type="dxa"/>
            <w:tcBorders>
              <w:top w:val="single" w:color="auto" w:sz="4" w:space="0"/>
              <w:bottom w:val="single" w:color="auto" w:sz="4" w:space="0"/>
              <w:right w:val="single" w:color="auto" w:sz="4" w:space="0"/>
            </w:tcBorders>
            <w:vAlign w:val="center"/>
          </w:tcPr>
          <w:p>
            <w:pPr>
              <w:autoSpaceDN w:val="0"/>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公众参与情况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jc w:val="center"/>
        </w:trPr>
        <w:tc>
          <w:tcPr>
            <w:tcW w:w="717" w:type="dxa"/>
            <w:tcBorders>
              <w:top w:val="single" w:color="000000" w:sz="8" w:space="0"/>
              <w:left w:val="single" w:color="000000" w:sz="8" w:space="0"/>
              <w:bottom w:val="single" w:color="000000" w:sz="8" w:space="0"/>
              <w:right w:val="single" w:color="000000" w:sz="8" w:space="0"/>
            </w:tcBorders>
            <w:vAlign w:val="center"/>
          </w:tcPr>
          <w:p>
            <w:pPr>
              <w:autoSpaceDN w:val="0"/>
              <w:spacing w:line="240" w:lineRule="atLeast"/>
              <w:jc w:val="center"/>
              <w:rPr>
                <w:rFonts w:ascii="仿宋_GB2312" w:hAnsi="仿宋_GB2312" w:eastAsia="仿宋_GB2312" w:cs="仿宋_GB2312"/>
                <w:bCs/>
                <w:sz w:val="24"/>
              </w:rPr>
            </w:pPr>
            <w:r>
              <w:rPr>
                <w:rFonts w:hint="eastAsia" w:ascii="仿宋_GB2312" w:hAnsi="仿宋_GB2312" w:eastAsia="仿宋_GB2312" w:cs="仿宋_GB2312"/>
                <w:bCs/>
                <w:sz w:val="24"/>
              </w:rPr>
              <w:t>1</w:t>
            </w:r>
          </w:p>
        </w:tc>
        <w:tc>
          <w:tcPr>
            <w:tcW w:w="911" w:type="dxa"/>
            <w:tcBorders>
              <w:top w:val="single" w:color="000000" w:sz="8" w:space="0"/>
              <w:left w:val="single" w:color="000000" w:sz="8" w:space="0"/>
              <w:bottom w:val="single" w:color="000000" w:sz="8" w:space="0"/>
              <w:right w:val="single" w:color="000000" w:sz="8" w:space="0"/>
            </w:tcBorders>
            <w:vAlign w:val="center"/>
          </w:tcPr>
          <w:p>
            <w:pPr>
              <w:tabs>
                <w:tab w:val="left" w:pos="30"/>
              </w:tabs>
              <w:jc w:val="center"/>
              <w:rPr>
                <w:rFonts w:ascii="仿宋_GB2312" w:hAnsi="仿宋_GB2312" w:eastAsia="仿宋_GB2312" w:cs="仿宋_GB2312"/>
                <w:bCs/>
                <w:sz w:val="24"/>
                <w:lang w:val="en"/>
              </w:rPr>
            </w:pPr>
            <w:r>
              <w:rPr>
                <w:rFonts w:hint="eastAsia" w:ascii="仿宋_GB2312" w:hAnsi="仿宋_GB2312" w:eastAsia="仿宋_GB2312" w:cs="仿宋_GB2312"/>
                <w:bCs/>
                <w:sz w:val="24"/>
                <w:lang w:val="en"/>
              </w:rPr>
              <w:t>河南省人民医院北院区新增一台数字减影血管造影机应用项目</w:t>
            </w:r>
          </w:p>
        </w:tc>
        <w:tc>
          <w:tcPr>
            <w:tcW w:w="1215" w:type="dxa"/>
            <w:tcBorders>
              <w:top w:val="single" w:color="000000" w:sz="8" w:space="0"/>
              <w:left w:val="single" w:color="000000" w:sz="8" w:space="0"/>
              <w:bottom w:val="single" w:color="000000" w:sz="8" w:space="0"/>
              <w:right w:val="single" w:color="000000" w:sz="8" w:space="0"/>
            </w:tcBorders>
            <w:vAlign w:val="center"/>
          </w:tcPr>
          <w:p>
            <w:pPr>
              <w:autoSpaceDN w:val="0"/>
              <w:spacing w:line="240" w:lineRule="atLeast"/>
              <w:jc w:val="center"/>
              <w:rPr>
                <w:rFonts w:ascii="仿宋_GB2312" w:hAnsi="仿宋_GB2312" w:eastAsia="仿宋_GB2312" w:cs="仿宋_GB2312"/>
                <w:bCs/>
                <w:sz w:val="24"/>
              </w:rPr>
            </w:pPr>
            <w:r>
              <w:rPr>
                <w:rFonts w:hint="eastAsia" w:ascii="仿宋_GB2312" w:hAnsi="仿宋_GB2312" w:eastAsia="仿宋_GB2312" w:cs="仿宋_GB2312"/>
                <w:bCs/>
                <w:sz w:val="24"/>
              </w:rPr>
              <w:t>新乡市平原示范区黄河大道与太行大道交叉口西南角</w:t>
            </w:r>
          </w:p>
        </w:tc>
        <w:tc>
          <w:tcPr>
            <w:tcW w:w="1134" w:type="dxa"/>
            <w:tcBorders>
              <w:top w:val="single" w:color="000000" w:sz="8" w:space="0"/>
              <w:left w:val="single" w:color="000000" w:sz="8" w:space="0"/>
              <w:bottom w:val="single" w:color="000000" w:sz="8" w:space="0"/>
              <w:right w:val="single" w:color="000000" w:sz="8" w:space="0"/>
            </w:tcBorders>
            <w:vAlign w:val="center"/>
          </w:tcPr>
          <w:p>
            <w:pPr>
              <w:autoSpaceDN w:val="0"/>
              <w:spacing w:line="240" w:lineRule="atLeast"/>
              <w:jc w:val="center"/>
              <w:rPr>
                <w:rFonts w:ascii="仿宋_GB2312" w:hAnsi="仿宋_GB2312" w:eastAsia="仿宋_GB2312" w:cs="仿宋_GB2312"/>
                <w:bCs/>
                <w:sz w:val="24"/>
              </w:rPr>
            </w:pPr>
            <w:r>
              <w:rPr>
                <w:rFonts w:hint="eastAsia" w:ascii="仿宋_GB2312" w:hAnsi="仿宋_GB2312" w:eastAsia="仿宋_GB2312" w:cs="仿宋_GB2312"/>
                <w:bCs/>
                <w:sz w:val="24"/>
              </w:rPr>
              <w:t>河南省人民医院</w:t>
            </w:r>
          </w:p>
        </w:tc>
        <w:tc>
          <w:tcPr>
            <w:tcW w:w="1133" w:type="dxa"/>
            <w:tcBorders>
              <w:top w:val="single" w:color="000000" w:sz="8" w:space="0"/>
              <w:left w:val="single" w:color="000000" w:sz="8" w:space="0"/>
              <w:bottom w:val="single" w:color="000000" w:sz="8" w:space="0"/>
              <w:right w:val="single" w:color="000000" w:sz="8" w:space="0"/>
            </w:tcBorders>
            <w:vAlign w:val="center"/>
          </w:tcPr>
          <w:p>
            <w:pPr>
              <w:autoSpaceDN w:val="0"/>
              <w:spacing w:line="240" w:lineRule="atLeast"/>
              <w:jc w:val="center"/>
              <w:rPr>
                <w:rFonts w:ascii="仿宋_GB2312" w:hAnsi="仿宋_GB2312" w:eastAsia="仿宋_GB2312" w:cs="仿宋_GB2312"/>
                <w:bCs/>
                <w:sz w:val="24"/>
              </w:rPr>
            </w:pPr>
            <w:r>
              <w:rPr>
                <w:rFonts w:hint="eastAsia" w:ascii="仿宋_GB2312" w:hAnsi="仿宋_GB2312" w:eastAsia="仿宋_GB2312" w:cs="仿宋_GB2312"/>
                <w:bCs/>
                <w:sz w:val="24"/>
              </w:rPr>
              <w:t>河南嘉德恒立科技有限公司</w:t>
            </w:r>
          </w:p>
        </w:tc>
        <w:tc>
          <w:tcPr>
            <w:tcW w:w="404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240" w:lineRule="atLeast"/>
              <w:jc w:val="left"/>
              <w:rPr>
                <w:rFonts w:ascii="仿宋_GB2312" w:hAnsi="仿宋_GB2312" w:eastAsia="仿宋_GB2312" w:cs="仿宋_GB2312"/>
                <w:bCs/>
                <w:sz w:val="24"/>
              </w:rPr>
            </w:pPr>
            <w:r>
              <w:rPr>
                <w:rFonts w:hint="eastAsia" w:ascii="仿宋_GB2312" w:hAnsi="仿宋_GB2312" w:eastAsia="仿宋_GB2312" w:cs="仿宋_GB2312"/>
                <w:bCs/>
                <w:sz w:val="24"/>
              </w:rPr>
              <w:t>一、项目性质：扩建。</w:t>
            </w:r>
          </w:p>
          <w:p>
            <w:pPr>
              <w:autoSpaceDN w:val="0"/>
              <w:spacing w:line="240" w:lineRule="atLeast"/>
              <w:jc w:val="left"/>
              <w:rPr>
                <w:rFonts w:ascii="仿宋_GB2312" w:hAnsi="仿宋_GB2312" w:eastAsia="仿宋_GB2312" w:cs="仿宋_GB2312"/>
                <w:bCs/>
                <w:sz w:val="24"/>
              </w:rPr>
            </w:pPr>
            <w:r>
              <w:rPr>
                <w:rFonts w:hint="eastAsia" w:ascii="仿宋_GB2312" w:hAnsi="仿宋_GB2312" w:eastAsia="仿宋_GB2312" w:cs="仿宋_GB2312"/>
                <w:bCs/>
                <w:sz w:val="24"/>
              </w:rPr>
              <w:t>二、审批内容</w:t>
            </w:r>
          </w:p>
          <w:p>
            <w:pPr>
              <w:autoSpaceDN w:val="0"/>
              <w:spacing w:line="240" w:lineRule="atLeast"/>
              <w:jc w:val="left"/>
              <w:rPr>
                <w:rFonts w:ascii="仿宋_GB2312" w:hAnsi="仿宋_GB2312" w:eastAsia="仿宋_GB2312" w:cs="仿宋_GB2312"/>
                <w:bCs/>
                <w:sz w:val="24"/>
              </w:rPr>
            </w:pPr>
            <w:r>
              <w:rPr>
                <w:rFonts w:hint="eastAsia" w:ascii="仿宋_GB2312" w:hAnsi="仿宋_GB2312" w:eastAsia="仿宋_GB2312" w:cs="仿宋_GB2312"/>
                <w:bCs/>
                <w:sz w:val="24"/>
              </w:rPr>
              <w:t>（一）种类和范围：使用Ⅱ类射线装置。</w:t>
            </w:r>
          </w:p>
          <w:p>
            <w:pPr>
              <w:autoSpaceDN w:val="0"/>
              <w:spacing w:line="240" w:lineRule="atLeast"/>
              <w:jc w:val="left"/>
              <w:rPr>
                <w:rFonts w:ascii="仿宋_GB2312" w:hAnsi="仿宋_GB2312" w:eastAsia="仿宋_GB2312" w:cs="仿宋_GB2312"/>
                <w:bCs/>
                <w:sz w:val="24"/>
              </w:rPr>
            </w:pPr>
            <w:r>
              <w:rPr>
                <w:rFonts w:hint="eastAsia" w:ascii="仿宋_GB2312" w:hAnsi="仿宋_GB2312" w:eastAsia="仿宋_GB2312" w:cs="仿宋_GB2312"/>
                <w:bCs/>
                <w:sz w:val="24"/>
              </w:rPr>
              <w:t>（二）项目内容：本项目建设地点位于河南省新乡市平原示范区黄河大道与太行大道交叉口西南角河南省人民医院北院区病房楼二层术中D</w:t>
            </w:r>
            <w:r>
              <w:rPr>
                <w:rFonts w:ascii="仿宋_GB2312" w:hAnsi="仿宋_GB2312" w:eastAsia="仿宋_GB2312" w:cs="仿宋_GB2312"/>
                <w:bCs/>
                <w:sz w:val="24"/>
              </w:rPr>
              <w:t>SA</w:t>
            </w:r>
            <w:r>
              <w:rPr>
                <w:rFonts w:hint="eastAsia" w:ascii="仿宋_GB2312" w:hAnsi="仿宋_GB2312" w:eastAsia="仿宋_GB2312" w:cs="仿宋_GB2312"/>
                <w:bCs/>
                <w:sz w:val="24"/>
              </w:rPr>
              <w:t>手术室，拟购1台数字减影血管造影机（设备参数：125kV，1000mA），属于医用Ⅱ类射线装置。</w:t>
            </w:r>
          </w:p>
          <w:p>
            <w:pPr>
              <w:autoSpaceDN w:val="0"/>
              <w:spacing w:line="240" w:lineRule="atLeast"/>
              <w:jc w:val="left"/>
              <w:rPr>
                <w:rFonts w:ascii="仿宋_GB2312" w:hAnsi="仿宋_GB2312" w:eastAsia="仿宋_GB2312" w:cs="仿宋_GB2312"/>
                <w:bCs/>
                <w:sz w:val="24"/>
              </w:rPr>
            </w:pPr>
            <w:r>
              <w:rPr>
                <w:rFonts w:hint="eastAsia" w:ascii="仿宋_GB2312" w:hAnsi="仿宋_GB2312" w:eastAsia="仿宋_GB2312" w:cs="仿宋_GB2312"/>
                <w:bCs/>
                <w:sz w:val="24"/>
              </w:rPr>
              <w:t>项目总投资1200万元，其中环保投资110万元。</w:t>
            </w:r>
          </w:p>
        </w:tc>
        <w:tc>
          <w:tcPr>
            <w:tcW w:w="383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240" w:lineRule="atLeast"/>
              <w:jc w:val="left"/>
              <w:rPr>
                <w:rFonts w:ascii="仿宋_GB2312" w:hAnsi="仿宋_GB2312" w:eastAsia="仿宋_GB2312" w:cs="仿宋_GB2312"/>
                <w:bCs/>
                <w:sz w:val="24"/>
              </w:rPr>
            </w:pPr>
            <w:r>
              <w:rPr>
                <w:rFonts w:hint="eastAsia" w:ascii="仿宋_GB2312" w:hAnsi="仿宋_GB2312" w:eastAsia="仿宋_GB2312" w:cs="仿宋_GB2312"/>
                <w:bCs/>
                <w:sz w:val="24"/>
              </w:rPr>
              <w:t>射线装置在非工作状态下不产生射线，正常工作情况下不产生放射性废水、废渣、废气；辐射工作场所按照辐射防护要求划分监督区和控制区，设置电离辐射标志、警戒线和相应指示牌；工作人员配备个人剂量计、个人剂量报警仪、辐射监测仪器和辐射防护用品。</w:t>
            </w:r>
          </w:p>
          <w:p>
            <w:pPr>
              <w:autoSpaceDN w:val="0"/>
              <w:spacing w:line="240" w:lineRule="atLeast"/>
              <w:jc w:val="left"/>
              <w:rPr>
                <w:rFonts w:ascii="仿宋_GB2312" w:hAnsi="仿宋_GB2312" w:eastAsia="仿宋_GB2312" w:cs="仿宋_GB2312"/>
                <w:bCs/>
                <w:sz w:val="24"/>
              </w:rPr>
            </w:pPr>
            <w:r>
              <w:rPr>
                <w:rFonts w:hint="eastAsia" w:ascii="仿宋_GB2312" w:hAnsi="仿宋_GB2312" w:eastAsia="仿宋_GB2312" w:cs="仿宋_GB2312"/>
                <w:bCs/>
                <w:sz w:val="24"/>
              </w:rPr>
              <w:t>辐射防护：项目对周围公众和工作人员的辐射影响满足有关标准要求。</w:t>
            </w:r>
          </w:p>
        </w:tc>
        <w:tc>
          <w:tcPr>
            <w:tcW w:w="1032" w:type="dxa"/>
            <w:tcBorders>
              <w:top w:val="single" w:color="auto" w:sz="4" w:space="0"/>
              <w:bottom w:val="single" w:color="auto" w:sz="4" w:space="0"/>
              <w:right w:val="single" w:color="auto" w:sz="4" w:space="0"/>
            </w:tcBorders>
            <w:vAlign w:val="center"/>
          </w:tcPr>
          <w:p>
            <w:pPr>
              <w:autoSpaceDN w:val="0"/>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bl>
    <w:p>
      <w:pPr>
        <w:spacing w:line="20" w:lineRule="exact"/>
      </w:pPr>
    </w:p>
    <w:sectPr>
      <w:pgSz w:w="16838" w:h="11906" w:orient="landscape"/>
      <w:pgMar w:top="1361" w:right="1418" w:bottom="1361"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3NzI5MThkYTlmMzM4YjcyOTdiMGQxYjRlNjUyYmEifQ=="/>
  </w:docVars>
  <w:rsids>
    <w:rsidRoot w:val="00D4368E"/>
    <w:rsid w:val="0003163E"/>
    <w:rsid w:val="000324AE"/>
    <w:rsid w:val="00071453"/>
    <w:rsid w:val="000E132C"/>
    <w:rsid w:val="00101CFB"/>
    <w:rsid w:val="00110E0E"/>
    <w:rsid w:val="0012667A"/>
    <w:rsid w:val="00152B4E"/>
    <w:rsid w:val="0016744C"/>
    <w:rsid w:val="00185B54"/>
    <w:rsid w:val="00186DB4"/>
    <w:rsid w:val="001B5A16"/>
    <w:rsid w:val="001D5779"/>
    <w:rsid w:val="001D610F"/>
    <w:rsid w:val="001D756B"/>
    <w:rsid w:val="00262DAD"/>
    <w:rsid w:val="00275A7C"/>
    <w:rsid w:val="002B3C13"/>
    <w:rsid w:val="002B7D81"/>
    <w:rsid w:val="002F32D8"/>
    <w:rsid w:val="00315CF0"/>
    <w:rsid w:val="003178B7"/>
    <w:rsid w:val="003234A0"/>
    <w:rsid w:val="00344819"/>
    <w:rsid w:val="00367092"/>
    <w:rsid w:val="003C7084"/>
    <w:rsid w:val="003F2979"/>
    <w:rsid w:val="003F55EB"/>
    <w:rsid w:val="003F585B"/>
    <w:rsid w:val="00431D20"/>
    <w:rsid w:val="004B632F"/>
    <w:rsid w:val="004F2B2A"/>
    <w:rsid w:val="004F6DFE"/>
    <w:rsid w:val="00521889"/>
    <w:rsid w:val="005240A1"/>
    <w:rsid w:val="0052542D"/>
    <w:rsid w:val="00552863"/>
    <w:rsid w:val="00555950"/>
    <w:rsid w:val="005C39E3"/>
    <w:rsid w:val="005F66D2"/>
    <w:rsid w:val="0061425A"/>
    <w:rsid w:val="00637267"/>
    <w:rsid w:val="00671670"/>
    <w:rsid w:val="00714864"/>
    <w:rsid w:val="00716577"/>
    <w:rsid w:val="00716BE1"/>
    <w:rsid w:val="00750417"/>
    <w:rsid w:val="008231BE"/>
    <w:rsid w:val="00832A01"/>
    <w:rsid w:val="00844B61"/>
    <w:rsid w:val="00850F2F"/>
    <w:rsid w:val="00870BBF"/>
    <w:rsid w:val="00874616"/>
    <w:rsid w:val="00880F82"/>
    <w:rsid w:val="00891A56"/>
    <w:rsid w:val="008E0545"/>
    <w:rsid w:val="009030BD"/>
    <w:rsid w:val="00941BDE"/>
    <w:rsid w:val="00950FA2"/>
    <w:rsid w:val="00983399"/>
    <w:rsid w:val="009A4D6E"/>
    <w:rsid w:val="00A0351D"/>
    <w:rsid w:val="00A1137C"/>
    <w:rsid w:val="00AF2460"/>
    <w:rsid w:val="00B00889"/>
    <w:rsid w:val="00B12FD8"/>
    <w:rsid w:val="00B13B90"/>
    <w:rsid w:val="00B36348"/>
    <w:rsid w:val="00B6434D"/>
    <w:rsid w:val="00B809BF"/>
    <w:rsid w:val="00C06D8E"/>
    <w:rsid w:val="00CA1395"/>
    <w:rsid w:val="00CC6848"/>
    <w:rsid w:val="00CD597A"/>
    <w:rsid w:val="00CF5EC0"/>
    <w:rsid w:val="00D37CCF"/>
    <w:rsid w:val="00D4368E"/>
    <w:rsid w:val="00D75673"/>
    <w:rsid w:val="00DA26DC"/>
    <w:rsid w:val="00DC647E"/>
    <w:rsid w:val="00DD1C7F"/>
    <w:rsid w:val="00DF56D8"/>
    <w:rsid w:val="00E16EA5"/>
    <w:rsid w:val="00E2536A"/>
    <w:rsid w:val="00E84C99"/>
    <w:rsid w:val="00E97E52"/>
    <w:rsid w:val="00EF75E6"/>
    <w:rsid w:val="00F11189"/>
    <w:rsid w:val="00F32855"/>
    <w:rsid w:val="00F52CB1"/>
    <w:rsid w:val="00F55DF2"/>
    <w:rsid w:val="00F72AFA"/>
    <w:rsid w:val="00FD796A"/>
    <w:rsid w:val="00FF5B10"/>
    <w:rsid w:val="05100859"/>
    <w:rsid w:val="05C3017A"/>
    <w:rsid w:val="06F245DF"/>
    <w:rsid w:val="085660B8"/>
    <w:rsid w:val="13B16FB3"/>
    <w:rsid w:val="1DDE400B"/>
    <w:rsid w:val="21B66CED"/>
    <w:rsid w:val="276F24C4"/>
    <w:rsid w:val="2DEA02AB"/>
    <w:rsid w:val="2EBE3E88"/>
    <w:rsid w:val="2FD0367C"/>
    <w:rsid w:val="43E14723"/>
    <w:rsid w:val="50E80F47"/>
    <w:rsid w:val="518368EC"/>
    <w:rsid w:val="5F7537D9"/>
    <w:rsid w:val="61C4258C"/>
    <w:rsid w:val="6C1F1E60"/>
    <w:rsid w:val="6D750A2E"/>
    <w:rsid w:val="71C46C90"/>
    <w:rsid w:val="75F30D12"/>
    <w:rsid w:val="7FFB1852"/>
    <w:rsid w:val="7FFD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752</Words>
  <Characters>787</Characters>
  <Lines>5</Lines>
  <Paragraphs>1</Paragraphs>
  <TotalTime>94</TotalTime>
  <ScaleCrop>false</ScaleCrop>
  <LinksUpToDate>false</LinksUpToDate>
  <CharactersWithSpaces>787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2019-09-04T21:55:00Z</dcterms:created>
  <dc:creator>Administrator</dc:creator>
  <cp:lastModifiedBy>心之所向</cp:lastModifiedBy>
  <dcterms:modified xsi:type="dcterms:W3CDTF">2024-06-20T01:03:01Z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FEDB7D574A014E4C9086AF8A83AFFD68_12</vt:lpwstr>
  </property>
</Properties>
</file>