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关于新乡市平原示范区幸福渠北岸道路（S101-原阳县界）改造项目环境影响报告表的</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32"/>
          <w:szCs w:val="32"/>
        </w:rPr>
        <w:t>评价文件作出拟审批意见的公示</w:t>
      </w:r>
      <w:r>
        <w:rPr>
          <w:rFonts w:hint="eastAsia" w:ascii="宋体" w:hAnsi="宋体" w:eastAsia="宋体" w:cs="宋体"/>
          <w:color w:val="000000"/>
          <w:kern w:val="0"/>
          <w:sz w:val="22"/>
          <w:szCs w:val="22"/>
        </w:rPr>
        <w:br w:type="textWrapping"/>
      </w:r>
    </w:p>
    <w:p>
      <w:pPr>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5个工作日内反馈我局环保科。</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电话和传真：0373-7535235</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通讯地址：新乡市平原示范区平原大道生态环境局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听证告知：依据《中华人民共和国行政许可法》，自公示起5日内申请人、有重大利益关系的利害关系人可对以下拟作出的建设项目环境影响评价文件批复决定要求听证。</w:t>
      </w:r>
    </w:p>
    <w:p>
      <w:pPr>
        <w:rPr>
          <w:rFonts w:ascii="宋体" w:hAnsi="宋体" w:eastAsia="宋体" w:cs="宋体"/>
          <w:color w:val="000000"/>
          <w:kern w:val="0"/>
          <w:sz w:val="22"/>
          <w:szCs w:val="22"/>
        </w:rPr>
      </w:pPr>
    </w:p>
    <w:p>
      <w:pPr>
        <w:rPr>
          <w:rFonts w:ascii="宋体" w:hAnsi="宋体" w:eastAsia="宋体" w:cs="宋体"/>
          <w:b/>
          <w:color w:val="000000"/>
          <w:kern w:val="0"/>
          <w:sz w:val="36"/>
          <w:szCs w:val="36"/>
        </w:rPr>
      </w:pPr>
    </w:p>
    <w:p>
      <w:pPr>
        <w:pStyle w:val="8"/>
        <w:rPr>
          <w:rFonts w:hAnsi="宋体"/>
          <w:b/>
          <w:sz w:val="36"/>
          <w:szCs w:val="36"/>
        </w:rPr>
      </w:pPr>
    </w:p>
    <w:p>
      <w:pPr>
        <w:pStyle w:val="8"/>
        <w:rPr>
          <w:rFonts w:hAnsi="宋体"/>
          <w:b/>
          <w:sz w:val="36"/>
          <w:szCs w:val="36"/>
        </w:rPr>
      </w:pPr>
    </w:p>
    <w:p>
      <w:pPr>
        <w:pStyle w:val="8"/>
        <w:rPr>
          <w:rFonts w:hAnsi="宋体"/>
          <w:b/>
          <w:sz w:val="36"/>
          <w:szCs w:val="36"/>
        </w:rPr>
      </w:pPr>
    </w:p>
    <w:p>
      <w:pPr>
        <w:jc w:val="center"/>
        <w:rPr>
          <w:rFonts w:ascii="宋体" w:hAnsi="宋体" w:eastAsia="宋体" w:cs="宋体"/>
          <w:color w:val="000000"/>
          <w:kern w:val="0"/>
          <w:sz w:val="21"/>
          <w:szCs w:val="21"/>
        </w:rPr>
      </w:pPr>
      <w:r>
        <w:rPr>
          <w:rFonts w:hint="eastAsia" w:ascii="宋体" w:hAnsi="宋体" w:eastAsia="宋体" w:cs="宋体"/>
          <w:b/>
          <w:color w:val="000000"/>
          <w:kern w:val="0"/>
          <w:sz w:val="36"/>
          <w:szCs w:val="36"/>
        </w:rPr>
        <w:t>建设项目环评拟批复公示内容</w:t>
      </w:r>
      <w:bookmarkStart w:id="0" w:name="_GoBack"/>
    </w:p>
    <w:tbl>
      <w:tblPr>
        <w:tblStyle w:val="6"/>
        <w:tblpPr w:leftFromText="180" w:rightFromText="180" w:vertAnchor="text" w:horzAnchor="page" w:tblpX="1343" w:tblpY="65"/>
        <w:tblOverlap w:val="never"/>
        <w:tblW w:w="14204" w:type="dxa"/>
        <w:tblInd w:w="0" w:type="dxa"/>
        <w:tblLayout w:type="fixed"/>
        <w:tblCellMar>
          <w:top w:w="0" w:type="dxa"/>
          <w:left w:w="0" w:type="dxa"/>
          <w:bottom w:w="0" w:type="dxa"/>
          <w:right w:w="0" w:type="dxa"/>
        </w:tblCellMar>
      </w:tblPr>
      <w:tblGrid>
        <w:gridCol w:w="534"/>
        <w:gridCol w:w="707"/>
        <w:gridCol w:w="729"/>
        <w:gridCol w:w="846"/>
        <w:gridCol w:w="980"/>
        <w:gridCol w:w="3946"/>
        <w:gridCol w:w="5664"/>
        <w:gridCol w:w="798"/>
      </w:tblGrid>
      <w:tr>
        <w:tblPrEx>
          <w:tblCellMar>
            <w:top w:w="0" w:type="dxa"/>
            <w:left w:w="0" w:type="dxa"/>
            <w:bottom w:w="0" w:type="dxa"/>
            <w:right w:w="0" w:type="dxa"/>
          </w:tblCellMar>
        </w:tblPrEx>
        <w:trPr>
          <w:trHeight w:val="119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1"/>
                <w:szCs w:val="21"/>
              </w:rPr>
            </w:pPr>
            <w:r>
              <w:rPr>
                <w:rStyle w:val="9"/>
                <w:rFonts w:hAnsi="Times New Roman"/>
                <w:sz w:val="21"/>
                <w:szCs w:val="21"/>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1"/>
                <w:szCs w:val="21"/>
              </w:rPr>
            </w:pPr>
            <w:r>
              <w:rPr>
                <w:rStyle w:val="9"/>
                <w:rFonts w:hAnsi="Times New Roman"/>
                <w:sz w:val="21"/>
                <w:szCs w:val="21"/>
              </w:rPr>
              <w:t>项目名称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1"/>
                <w:szCs w:val="21"/>
              </w:rPr>
            </w:pPr>
            <w:r>
              <w:rPr>
                <w:rFonts w:ascii="Times New Roman" w:hAnsi="Times New Roman" w:eastAsia="宋体" w:cs="Times New Roman"/>
                <w:b/>
                <w:color w:val="333333"/>
                <w:sz w:val="21"/>
                <w:szCs w:val="21"/>
              </w:rPr>
              <w:t>建设性质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1"/>
                <w:szCs w:val="21"/>
              </w:rPr>
            </w:pPr>
            <w:r>
              <w:rPr>
                <w:rStyle w:val="9"/>
                <w:rFonts w:hAnsi="Times New Roman"/>
                <w:sz w:val="21"/>
                <w:szCs w:val="21"/>
              </w:rPr>
              <w:t>建设地点</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Style w:val="9"/>
                <w:rFonts w:hAnsi="Times New Roman"/>
                <w:sz w:val="21"/>
                <w:szCs w:val="21"/>
              </w:rPr>
            </w:pPr>
            <w:r>
              <w:rPr>
                <w:rStyle w:val="9"/>
                <w:rFonts w:hint="eastAsia" w:hAnsi="Times New Roman"/>
                <w:sz w:val="21"/>
                <w:szCs w:val="21"/>
              </w:rPr>
              <w:t>环评机构</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sz w:val="21"/>
                <w:szCs w:val="21"/>
              </w:rPr>
            </w:pPr>
            <w:r>
              <w:rPr>
                <w:rStyle w:val="9"/>
                <w:rFonts w:hAnsi="Times New Roman"/>
                <w:color w:val="auto"/>
                <w:sz w:val="21"/>
                <w:szCs w:val="21"/>
              </w:rPr>
              <w:t>建设项目概况</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1"/>
                <w:szCs w:val="21"/>
              </w:rPr>
            </w:pPr>
            <w:r>
              <w:rPr>
                <w:rStyle w:val="9"/>
                <w:rFonts w:hAnsi="Times New Roman"/>
                <w:sz w:val="21"/>
                <w:szCs w:val="21"/>
              </w:rPr>
              <w:t>主要环境影响及预防或减轻不良环境影响的对策和措施</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333333"/>
                <w:sz w:val="21"/>
                <w:szCs w:val="21"/>
              </w:rPr>
            </w:pPr>
            <w:r>
              <w:rPr>
                <w:rFonts w:ascii="仿宋_GB2312" w:hAnsi="宋体" w:eastAsia="仿宋_GB2312" w:cs="仿宋_GB2312"/>
                <w:b/>
                <w:color w:val="333333"/>
                <w:kern w:val="0"/>
                <w:sz w:val="21"/>
                <w:szCs w:val="21"/>
              </w:rPr>
              <w:t>公众参与情况</w:t>
            </w:r>
          </w:p>
        </w:tc>
      </w:tr>
      <w:tr>
        <w:tblPrEx>
          <w:tblCellMar>
            <w:top w:w="0" w:type="dxa"/>
            <w:left w:w="0" w:type="dxa"/>
            <w:bottom w:w="0" w:type="dxa"/>
            <w:right w:w="0" w:type="dxa"/>
          </w:tblCellMar>
        </w:tblPrEx>
        <w:trPr>
          <w:trHeight w:val="587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2A2A2A"/>
                <w:kern w:val="0"/>
                <w:sz w:val="21"/>
                <w:szCs w:val="21"/>
              </w:rPr>
            </w:pPr>
            <w:r>
              <w:rPr>
                <w:rFonts w:hint="eastAsia" w:ascii="宋体" w:hAnsi="宋体" w:eastAsia="宋体" w:cs="宋体"/>
                <w:color w:val="333333"/>
                <w:kern w:val="0"/>
                <w:sz w:val="21"/>
                <w:szCs w:val="21"/>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spacing w:val="0"/>
                <w:kern w:val="0"/>
                <w:sz w:val="21"/>
                <w:szCs w:val="21"/>
                <w:lang w:eastAsia="zh-CN"/>
              </w:rPr>
            </w:pPr>
            <w:r>
              <w:rPr>
                <w:rFonts w:hint="eastAsia" w:asciiTheme="minorEastAsia" w:hAnsiTheme="minorEastAsia" w:eastAsiaTheme="minorEastAsia"/>
                <w:spacing w:val="0"/>
                <w:kern w:val="0"/>
                <w:sz w:val="21"/>
                <w:szCs w:val="21"/>
                <w:lang w:eastAsia="zh-CN"/>
              </w:rPr>
              <w:t xml:space="preserve">新乡市平原示范区幸福渠北岸道路         </w:t>
            </w:r>
          </w:p>
          <w:p>
            <w:pPr>
              <w:widowControl/>
              <w:jc w:val="center"/>
              <w:textAlignment w:val="center"/>
              <w:rPr>
                <w:rFonts w:hint="eastAsia" w:asciiTheme="minorEastAsia" w:hAnsiTheme="minorEastAsia" w:eastAsiaTheme="minorEastAsia"/>
                <w:spacing w:val="-21"/>
                <w:kern w:val="0"/>
                <w:sz w:val="21"/>
                <w:szCs w:val="21"/>
                <w:lang w:eastAsia="zh-CN"/>
              </w:rPr>
            </w:pPr>
            <w:r>
              <w:rPr>
                <w:rFonts w:hint="eastAsia" w:asciiTheme="minorEastAsia" w:hAnsiTheme="minorEastAsia" w:eastAsiaTheme="minorEastAsia"/>
                <w:spacing w:val="0"/>
                <w:kern w:val="0"/>
                <w:sz w:val="21"/>
                <w:szCs w:val="21"/>
                <w:lang w:eastAsia="zh-CN"/>
              </w:rPr>
              <w:t>（S101-原阳县界）改造项目</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spacing w:val="-21"/>
                <w:kern w:val="0"/>
                <w:sz w:val="21"/>
                <w:szCs w:val="21"/>
                <w:lang w:eastAsia="zh-CN"/>
              </w:rPr>
            </w:pPr>
            <w:r>
              <w:rPr>
                <w:rFonts w:hint="eastAsia" w:ascii="宋体" w:hAnsi="宋体" w:eastAsia="宋体" w:cs="宋体"/>
                <w:color w:val="000000"/>
                <w:kern w:val="0"/>
                <w:sz w:val="21"/>
                <w:szCs w:val="21"/>
                <w:lang w:eastAsia="zh-CN"/>
              </w:rPr>
              <w:t>改建</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21"/>
                <w:szCs w:val="21"/>
              </w:rPr>
            </w:pPr>
            <w:r>
              <w:rPr>
                <w:rFonts w:hint="eastAsia" w:ascii="Times New Roman" w:hAnsi="Times New Roman"/>
                <w:sz w:val="21"/>
                <w:szCs w:val="21"/>
              </w:rPr>
              <w:t>新乡市平原城乡一体化示范区桥北乡、韩董庄镇</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河南中信环保科技有限公司</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eastAsia="宋体" w:cs="宋体"/>
                <w:kern w:val="0"/>
                <w:sz w:val="21"/>
                <w:szCs w:val="21"/>
              </w:rPr>
            </w:pPr>
            <w:r>
              <w:rPr>
                <w:rFonts w:hint="eastAsia" w:eastAsia="宋体" w:cs="宋体"/>
                <w:kern w:val="0"/>
                <w:sz w:val="21"/>
                <w:szCs w:val="21"/>
              </w:rPr>
              <w:t>主要建设内容：新乡市平原示范区幸福渠北岸道路（S101-原阳县界）改造项目位于新乡市平原城乡一体化示范区桥北乡、韩董庄镇。本项目起点位于新乡平原示范区桥北乡幸福渠北岸道路（X010）与S101线交叉口，沿幸福渠北岸东行，经马井村、任庄村、府庄村、姬屋村后，下穿G107复线铁路，终点接韩董庄镇与蒋庄乡交界处孟庄村东现状幸福渠路，路线全长8.825km。本次工程对现状道路（幸福渠北岸南半幅水泥混凝土路面道路）进行改建，北半幅沥青道路路基宽度为9.75m（K0+000~K5+900），由于该道路沿线范围内有燃气管线，紧邻北半幅沥青道路设置1.5m绿化带（原定绿化带宽度为2.5m，因建设需求，现更改为1.5m），故本次拓宽11.25m（K0+000~K5+900），与北半幅沥青道路形成完整路基21m（K0+000~K5+900）；北半幅沥青道路路基宽度为9.75m（K0+000~K5+900），本次拓宽9.75m，与北半幅沥青道路形成完整路基19.5m（K5+900~K8+825）。设计速度60km/h，路线全长8.825km。路面结构采用沥青混凝土，路面总面积为82350平方米。新建中桥1座，全长35.04米；利用涵洞16道。平面交叉14处，利用现状分离式立交1处。</w:t>
            </w:r>
          </w:p>
          <w:p>
            <w:pPr>
              <w:widowControl/>
              <w:textAlignment w:val="center"/>
              <w:rPr>
                <w:rFonts w:eastAsia="宋体" w:cs="宋体"/>
                <w:kern w:val="0"/>
                <w:sz w:val="21"/>
                <w:szCs w:val="21"/>
              </w:rPr>
            </w:pPr>
            <w:r>
              <w:rPr>
                <w:rFonts w:hint="eastAsia" w:eastAsia="宋体" w:cs="宋体"/>
                <w:kern w:val="0"/>
                <w:sz w:val="21"/>
                <w:szCs w:val="21"/>
              </w:rPr>
              <w:t>周边概况：项目为线性工程，道路沿线敏感点主要有项目南侧38m洗浴中心、北侧17m马井村、北侧195m司庄村、北侧16m小任庄、北侧16m府庄村、北侧95m姬屋村、北侧27m平原亿鑫中医院、北侧27m平原亿鑫中医院西侧幼儿园、北侧196m拾区村；项目南侧紧邻幸福渠。</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tabs>
                <w:tab w:val="left" w:pos="312"/>
              </w:tabs>
              <w:rPr>
                <w:rFonts w:hint="eastAsia"/>
                <w:sz w:val="21"/>
                <w:szCs w:val="21"/>
              </w:rPr>
            </w:pPr>
            <w:r>
              <w:rPr>
                <w:rFonts w:hint="eastAsia"/>
                <w:sz w:val="21"/>
                <w:szCs w:val="21"/>
              </w:rPr>
              <w:t>1.废水：</w:t>
            </w:r>
          </w:p>
          <w:p>
            <w:pPr>
              <w:pStyle w:val="8"/>
              <w:tabs>
                <w:tab w:val="left" w:pos="312"/>
              </w:tabs>
              <w:rPr>
                <w:rFonts w:hint="eastAsia"/>
                <w:sz w:val="21"/>
                <w:szCs w:val="21"/>
              </w:rPr>
            </w:pPr>
            <w:r>
              <w:rPr>
                <w:rFonts w:hint="eastAsia"/>
                <w:sz w:val="21"/>
                <w:szCs w:val="21"/>
              </w:rPr>
              <w:t>施工期：①施工生活污水：本项目施工人员租住附近民房，生活污水依托当地居民化粪池进行处理后定期清淘肥田。②施工废水：在临时施工生产区出入口设置车辆自动冲洗设施，施工废水、车辆冲洗废水经临时施工生产区出入口设置的临时隔油沉淀池（10m3）进行处理后，回用于施工场地洒水降尘，不外排。③桥梁施工废水：评价建议在施工位置较低处设置1个临时沉淀池（10m3），沉淀池对基坑涌水与泥浆废水进行沉淀，经沉淀池沉淀后采用洒水车抽吸后用于线路沿线洒水抑尘。</w:t>
            </w:r>
          </w:p>
          <w:p>
            <w:pPr>
              <w:pStyle w:val="8"/>
              <w:tabs>
                <w:tab w:val="left" w:pos="312"/>
              </w:tabs>
              <w:rPr>
                <w:rFonts w:hint="eastAsia"/>
                <w:sz w:val="21"/>
                <w:szCs w:val="21"/>
              </w:rPr>
            </w:pPr>
            <w:r>
              <w:rPr>
                <w:rFonts w:hint="eastAsia"/>
                <w:sz w:val="21"/>
                <w:szCs w:val="21"/>
                <w:lang w:eastAsia="zh-CN"/>
              </w:rPr>
              <w:t>运营期</w:t>
            </w:r>
            <w:r>
              <w:rPr>
                <w:rFonts w:hint="eastAsia"/>
                <w:sz w:val="21"/>
                <w:szCs w:val="21"/>
              </w:rPr>
              <w:t>：地面废水边沟排水，项目运营期路面及桥面雨季径流水对周边环境影响不大。</w:t>
            </w:r>
          </w:p>
          <w:p>
            <w:pPr>
              <w:pStyle w:val="8"/>
              <w:tabs>
                <w:tab w:val="left" w:pos="312"/>
              </w:tabs>
              <w:rPr>
                <w:rFonts w:hint="eastAsia"/>
                <w:sz w:val="21"/>
                <w:szCs w:val="21"/>
              </w:rPr>
            </w:pPr>
            <w:r>
              <w:rPr>
                <w:rFonts w:hint="eastAsia"/>
                <w:sz w:val="21"/>
                <w:szCs w:val="21"/>
              </w:rPr>
              <w:t>2.废气：</w:t>
            </w:r>
          </w:p>
          <w:p>
            <w:pPr>
              <w:pStyle w:val="8"/>
              <w:tabs>
                <w:tab w:val="left" w:pos="312"/>
              </w:tabs>
              <w:rPr>
                <w:rFonts w:hint="eastAsia"/>
                <w:sz w:val="21"/>
                <w:szCs w:val="21"/>
              </w:rPr>
            </w:pPr>
            <w:r>
              <w:rPr>
                <w:rFonts w:hint="eastAsia"/>
                <w:sz w:val="21"/>
                <w:szCs w:val="21"/>
              </w:rPr>
              <w:t>施工期：</w:t>
            </w:r>
            <w:r>
              <w:rPr>
                <w:rFonts w:hint="eastAsia"/>
                <w:sz w:val="21"/>
                <w:szCs w:val="21"/>
                <w:lang w:eastAsia="zh-CN"/>
              </w:rPr>
              <w:t>①</w:t>
            </w:r>
            <w:r>
              <w:rPr>
                <w:rFonts w:hint="eastAsia"/>
                <w:sz w:val="21"/>
                <w:szCs w:val="21"/>
              </w:rPr>
              <w:t>施工路段设置2.5m围挡，围挡上方安装雾化喷淋装置；</w:t>
            </w:r>
          </w:p>
          <w:p>
            <w:pPr>
              <w:pStyle w:val="8"/>
              <w:tabs>
                <w:tab w:val="left" w:pos="312"/>
              </w:tabs>
              <w:rPr>
                <w:rFonts w:hint="eastAsia"/>
                <w:sz w:val="21"/>
                <w:szCs w:val="21"/>
              </w:rPr>
            </w:pPr>
            <w:r>
              <w:rPr>
                <w:rFonts w:hint="eastAsia"/>
                <w:sz w:val="21"/>
                <w:szCs w:val="21"/>
              </w:rPr>
              <w:t>②粉状建材材料与挖填方弃土运输时，用篷布覆盖；临时表土堆场用防尘网覆盖；</w:t>
            </w:r>
          </w:p>
          <w:p>
            <w:pPr>
              <w:pStyle w:val="8"/>
              <w:tabs>
                <w:tab w:val="left" w:pos="312"/>
              </w:tabs>
              <w:rPr>
                <w:rFonts w:hint="eastAsia"/>
                <w:sz w:val="21"/>
                <w:szCs w:val="21"/>
              </w:rPr>
            </w:pPr>
            <w:r>
              <w:rPr>
                <w:rFonts w:hint="eastAsia"/>
                <w:sz w:val="21"/>
                <w:szCs w:val="21"/>
              </w:rPr>
              <w:t>③车辆进出施工区进行车辆冲洗，填挖方时用固定式或移动式洒水装置喷洒施工作业区；</w:t>
            </w:r>
          </w:p>
          <w:p>
            <w:pPr>
              <w:pStyle w:val="8"/>
              <w:tabs>
                <w:tab w:val="left" w:pos="312"/>
              </w:tabs>
              <w:rPr>
                <w:rFonts w:hint="eastAsia"/>
                <w:sz w:val="21"/>
                <w:szCs w:val="21"/>
              </w:rPr>
            </w:pPr>
            <w:r>
              <w:rPr>
                <w:rFonts w:hint="eastAsia"/>
                <w:sz w:val="21"/>
                <w:szCs w:val="21"/>
              </w:rPr>
              <w:t>④物料与弃方运输时，沿线洒水抑尘；</w:t>
            </w:r>
          </w:p>
          <w:p>
            <w:pPr>
              <w:pStyle w:val="8"/>
              <w:tabs>
                <w:tab w:val="left" w:pos="312"/>
              </w:tabs>
              <w:rPr>
                <w:rFonts w:hint="eastAsia"/>
                <w:sz w:val="21"/>
                <w:szCs w:val="21"/>
              </w:rPr>
            </w:pPr>
            <w:r>
              <w:rPr>
                <w:rFonts w:hint="eastAsia"/>
                <w:sz w:val="21"/>
                <w:szCs w:val="21"/>
              </w:rPr>
              <w:t>⑤施工场地采用碎石或其他材料进行硬化；</w:t>
            </w:r>
          </w:p>
          <w:p>
            <w:pPr>
              <w:pStyle w:val="8"/>
              <w:tabs>
                <w:tab w:val="left" w:pos="312"/>
              </w:tabs>
              <w:rPr>
                <w:rFonts w:hint="eastAsia"/>
                <w:sz w:val="21"/>
                <w:szCs w:val="21"/>
              </w:rPr>
            </w:pPr>
            <w:r>
              <w:rPr>
                <w:rFonts w:hint="eastAsia"/>
                <w:sz w:val="21"/>
                <w:szCs w:val="21"/>
              </w:rPr>
              <w:t>⑥施工过程中必须做到“八个百分百”。</w:t>
            </w:r>
          </w:p>
          <w:p>
            <w:pPr>
              <w:pStyle w:val="8"/>
              <w:tabs>
                <w:tab w:val="left" w:pos="312"/>
              </w:tabs>
              <w:rPr>
                <w:rFonts w:hint="eastAsia"/>
                <w:sz w:val="21"/>
                <w:szCs w:val="21"/>
              </w:rPr>
            </w:pPr>
            <w:r>
              <w:rPr>
                <w:rFonts w:hint="eastAsia"/>
                <w:sz w:val="21"/>
                <w:szCs w:val="21"/>
                <w:lang w:eastAsia="zh-CN"/>
              </w:rPr>
              <w:t>运营期</w:t>
            </w:r>
            <w:r>
              <w:rPr>
                <w:rFonts w:hint="eastAsia"/>
                <w:sz w:val="21"/>
                <w:szCs w:val="21"/>
              </w:rPr>
              <w:t>：评价建议加强道路的交通管理，限制尾气超标车辆上路；加强交通巡察，减少堵车塞车现象；加强道路养护及交通标志维修，使道路经常处于良好状态；加强道路绿化，多种植可吸收汽车尾气的植物。经采取以上措施，运营期汽车尾气对周围环境的影响可得到一定程度的减小。</w:t>
            </w:r>
          </w:p>
          <w:p>
            <w:pPr>
              <w:pStyle w:val="8"/>
              <w:tabs>
                <w:tab w:val="left" w:pos="312"/>
              </w:tabs>
              <w:rPr>
                <w:rFonts w:hint="eastAsia"/>
                <w:sz w:val="21"/>
                <w:szCs w:val="21"/>
              </w:rPr>
            </w:pPr>
            <w:r>
              <w:rPr>
                <w:rFonts w:hint="eastAsia"/>
                <w:sz w:val="21"/>
                <w:szCs w:val="21"/>
              </w:rPr>
              <w:t>3、噪声：</w:t>
            </w:r>
          </w:p>
          <w:p>
            <w:pPr>
              <w:pStyle w:val="8"/>
              <w:tabs>
                <w:tab w:val="left" w:pos="312"/>
              </w:tabs>
              <w:rPr>
                <w:rFonts w:hint="eastAsia"/>
                <w:sz w:val="21"/>
                <w:szCs w:val="21"/>
              </w:rPr>
            </w:pPr>
            <w:r>
              <w:rPr>
                <w:rFonts w:hint="eastAsia"/>
                <w:sz w:val="21"/>
                <w:szCs w:val="21"/>
              </w:rPr>
              <w:t>施工期：本项目施工通过加强施工管理和施工组织，合理安排施工时间，并在局部采取临时降噪措施后，其影响可以减轻到最小程度。</w:t>
            </w:r>
          </w:p>
          <w:p>
            <w:pPr>
              <w:pStyle w:val="8"/>
              <w:tabs>
                <w:tab w:val="left" w:pos="312"/>
              </w:tabs>
              <w:rPr>
                <w:rFonts w:hint="eastAsia"/>
                <w:sz w:val="21"/>
                <w:szCs w:val="21"/>
              </w:rPr>
            </w:pPr>
            <w:r>
              <w:rPr>
                <w:rFonts w:hint="eastAsia"/>
                <w:sz w:val="21"/>
                <w:szCs w:val="21"/>
                <w:lang w:eastAsia="zh-CN"/>
              </w:rPr>
              <w:t>运营期</w:t>
            </w:r>
            <w:r>
              <w:rPr>
                <w:rFonts w:hint="eastAsia"/>
                <w:sz w:val="21"/>
                <w:szCs w:val="21"/>
              </w:rPr>
              <w:t>：对中、远期噪声超标的马井村13户，预留资金加装隔声窗，隔声窗面积105m2；合理控制道路车流量和车速和车辆鸣号，避免车辆拥挤，并设置限速、禁鸣等标志。</w:t>
            </w:r>
          </w:p>
          <w:p>
            <w:pPr>
              <w:pStyle w:val="8"/>
              <w:tabs>
                <w:tab w:val="left" w:pos="312"/>
              </w:tabs>
              <w:rPr>
                <w:rFonts w:hint="eastAsia"/>
                <w:sz w:val="21"/>
                <w:szCs w:val="21"/>
              </w:rPr>
            </w:pPr>
            <w:r>
              <w:rPr>
                <w:rFonts w:hint="eastAsia"/>
                <w:sz w:val="21"/>
                <w:szCs w:val="21"/>
              </w:rPr>
              <w:t>4、固废：</w:t>
            </w:r>
          </w:p>
          <w:p>
            <w:pPr>
              <w:pStyle w:val="8"/>
              <w:tabs>
                <w:tab w:val="left" w:pos="312"/>
              </w:tabs>
              <w:rPr>
                <w:rFonts w:hint="eastAsia"/>
                <w:sz w:val="21"/>
                <w:szCs w:val="21"/>
              </w:rPr>
            </w:pPr>
            <w:r>
              <w:rPr>
                <w:rFonts w:hint="eastAsia"/>
                <w:sz w:val="21"/>
                <w:szCs w:val="21"/>
              </w:rPr>
              <w:t>施工期：①生活垃圾：施工人员产生的生活垃圾依托村民生活垃圾收集系统收集后交由环卫部门清运处理。</w:t>
            </w:r>
          </w:p>
          <w:p>
            <w:pPr>
              <w:pStyle w:val="8"/>
              <w:tabs>
                <w:tab w:val="left" w:pos="312"/>
              </w:tabs>
              <w:rPr>
                <w:rFonts w:hint="eastAsia"/>
                <w:sz w:val="21"/>
                <w:szCs w:val="21"/>
              </w:rPr>
            </w:pPr>
            <w:r>
              <w:rPr>
                <w:rFonts w:hint="eastAsia"/>
                <w:sz w:val="21"/>
                <w:szCs w:val="21"/>
              </w:rPr>
              <w:t>②弃方：施工期产生的弃方外运至政府指定消纳场处置。</w:t>
            </w:r>
          </w:p>
          <w:p>
            <w:pPr>
              <w:pStyle w:val="8"/>
              <w:tabs>
                <w:tab w:val="left" w:pos="312"/>
              </w:tabs>
              <w:rPr>
                <w:rFonts w:hint="eastAsia"/>
                <w:sz w:val="21"/>
                <w:szCs w:val="21"/>
              </w:rPr>
            </w:pPr>
            <w:r>
              <w:rPr>
                <w:rFonts w:hint="eastAsia"/>
                <w:sz w:val="21"/>
                <w:szCs w:val="21"/>
              </w:rPr>
              <w:t>③建筑垃圾：施工期间建筑垃圾通过分拣归类，回收可利用部分，如废钢筋等。其余不可利用部分严格按照当地建设管理部门的要求运至建筑垃圾处置场所处置，不会对周边环境产生影响。</w:t>
            </w:r>
          </w:p>
          <w:p>
            <w:pPr>
              <w:pStyle w:val="8"/>
              <w:tabs>
                <w:tab w:val="left" w:pos="312"/>
              </w:tabs>
              <w:rPr>
                <w:rFonts w:hint="eastAsia"/>
                <w:sz w:val="21"/>
                <w:szCs w:val="21"/>
              </w:rPr>
            </w:pPr>
            <w:r>
              <w:rPr>
                <w:rFonts w:hint="eastAsia"/>
                <w:sz w:val="21"/>
                <w:szCs w:val="21"/>
                <w:lang w:eastAsia="zh-CN"/>
              </w:rPr>
              <w:t>运营期</w:t>
            </w:r>
            <w:r>
              <w:rPr>
                <w:rFonts w:hint="eastAsia"/>
                <w:sz w:val="21"/>
                <w:szCs w:val="21"/>
              </w:rPr>
              <w:t>：生活垃圾收集后交由环卫部门处理。</w:t>
            </w:r>
          </w:p>
          <w:p>
            <w:pPr>
              <w:pStyle w:val="8"/>
              <w:tabs>
                <w:tab w:val="left" w:pos="312"/>
              </w:tabs>
              <w:rPr>
                <w:rFonts w:hint="eastAsia"/>
                <w:sz w:val="21"/>
                <w:szCs w:val="21"/>
              </w:rPr>
            </w:pPr>
            <w:r>
              <w:rPr>
                <w:rFonts w:hint="eastAsia"/>
                <w:sz w:val="21"/>
                <w:szCs w:val="21"/>
              </w:rPr>
              <w:t>5、生态：</w:t>
            </w:r>
          </w:p>
          <w:p>
            <w:pPr>
              <w:pStyle w:val="8"/>
              <w:tabs>
                <w:tab w:val="left" w:pos="312"/>
              </w:tabs>
              <w:rPr>
                <w:rFonts w:hint="eastAsia"/>
                <w:sz w:val="21"/>
                <w:szCs w:val="21"/>
              </w:rPr>
            </w:pPr>
            <w:r>
              <w:rPr>
                <w:rFonts w:hint="eastAsia"/>
                <w:sz w:val="21"/>
                <w:szCs w:val="21"/>
              </w:rPr>
              <w:t>施工期：临时堆土区防尘网覆盖；边沟、绿化及生态恢复等。</w:t>
            </w:r>
          </w:p>
          <w:p>
            <w:pPr>
              <w:pStyle w:val="8"/>
              <w:tabs>
                <w:tab w:val="left" w:pos="312"/>
              </w:tabs>
              <w:rPr>
                <w:sz w:val="21"/>
                <w:szCs w:val="21"/>
              </w:rPr>
            </w:pPr>
            <w:r>
              <w:rPr>
                <w:rFonts w:hint="eastAsia"/>
                <w:sz w:val="21"/>
                <w:szCs w:val="21"/>
                <w:lang w:eastAsia="zh-CN"/>
              </w:rPr>
              <w:t>运营期</w:t>
            </w:r>
            <w:r>
              <w:rPr>
                <w:rFonts w:hint="eastAsia"/>
                <w:sz w:val="21"/>
                <w:szCs w:val="21"/>
              </w:rPr>
              <w:t>：绿化工程。</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FF0000"/>
                <w:kern w:val="0"/>
                <w:sz w:val="21"/>
                <w:szCs w:val="21"/>
              </w:rPr>
            </w:pPr>
            <w:r>
              <w:rPr>
                <w:rFonts w:hint="eastAsia" w:ascii="宋体" w:hAnsi="宋体" w:eastAsia="宋体" w:cs="宋体"/>
                <w:bCs/>
                <w:color w:val="auto"/>
                <w:kern w:val="0"/>
                <w:sz w:val="21"/>
                <w:szCs w:val="21"/>
                <w:lang w:val="en-US" w:eastAsia="zh-CN"/>
              </w:rPr>
              <w:t>/</w:t>
            </w:r>
          </w:p>
        </w:tc>
      </w:tr>
    </w:tbl>
    <w:p>
      <w:pPr>
        <w:pStyle w:val="8"/>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C2F"/>
    <w:multiLevelType w:val="multilevel"/>
    <w:tmpl w:val="16527C2F"/>
    <w:lvl w:ilvl="0" w:tentative="0">
      <w:start w:val="2"/>
      <w:numFmt w:val="decimal"/>
      <w:pStyle w:val="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0OTE4Y2RkMGIxMzk2ZjQ4ZWQwYThiNmU2NDE0NGYifQ=="/>
  </w:docVars>
  <w:rsids>
    <w:rsidRoot w:val="00CC2C6D"/>
    <w:rsid w:val="00026E7C"/>
    <w:rsid w:val="000F1C44"/>
    <w:rsid w:val="004523E2"/>
    <w:rsid w:val="007C6298"/>
    <w:rsid w:val="00900997"/>
    <w:rsid w:val="009D3EDB"/>
    <w:rsid w:val="00CC2C6D"/>
    <w:rsid w:val="00CD36A2"/>
    <w:rsid w:val="00D62BA4"/>
    <w:rsid w:val="023E1EC3"/>
    <w:rsid w:val="04397B4A"/>
    <w:rsid w:val="071909E3"/>
    <w:rsid w:val="082F4993"/>
    <w:rsid w:val="0987097E"/>
    <w:rsid w:val="0A3C3DF6"/>
    <w:rsid w:val="0BD465DB"/>
    <w:rsid w:val="0E152F6A"/>
    <w:rsid w:val="107503EC"/>
    <w:rsid w:val="11FF5B60"/>
    <w:rsid w:val="12617B0E"/>
    <w:rsid w:val="12E511FA"/>
    <w:rsid w:val="193D24AD"/>
    <w:rsid w:val="19E2595E"/>
    <w:rsid w:val="1BC23462"/>
    <w:rsid w:val="1DC95E81"/>
    <w:rsid w:val="203702DA"/>
    <w:rsid w:val="21F56A18"/>
    <w:rsid w:val="24D41AFC"/>
    <w:rsid w:val="24DF14D3"/>
    <w:rsid w:val="264A6E90"/>
    <w:rsid w:val="27FB3E6C"/>
    <w:rsid w:val="2B856C3F"/>
    <w:rsid w:val="2C8D1306"/>
    <w:rsid w:val="2E215F8F"/>
    <w:rsid w:val="2EB85002"/>
    <w:rsid w:val="309F68D9"/>
    <w:rsid w:val="312E56D7"/>
    <w:rsid w:val="330B5717"/>
    <w:rsid w:val="33CE01EF"/>
    <w:rsid w:val="37CA3455"/>
    <w:rsid w:val="384C2791"/>
    <w:rsid w:val="3A2B1D02"/>
    <w:rsid w:val="3D4E40FA"/>
    <w:rsid w:val="41497649"/>
    <w:rsid w:val="42A37B18"/>
    <w:rsid w:val="4321691A"/>
    <w:rsid w:val="47F71DF9"/>
    <w:rsid w:val="497A409A"/>
    <w:rsid w:val="4C347955"/>
    <w:rsid w:val="4CBD6EF8"/>
    <w:rsid w:val="4DA46D68"/>
    <w:rsid w:val="4E1C380D"/>
    <w:rsid w:val="4F107A91"/>
    <w:rsid w:val="4FC05236"/>
    <w:rsid w:val="505C148E"/>
    <w:rsid w:val="50E439B0"/>
    <w:rsid w:val="5187080D"/>
    <w:rsid w:val="555B0CDB"/>
    <w:rsid w:val="5713331C"/>
    <w:rsid w:val="582717E8"/>
    <w:rsid w:val="5A8F093B"/>
    <w:rsid w:val="5F103F31"/>
    <w:rsid w:val="5F2B65C6"/>
    <w:rsid w:val="618A43D0"/>
    <w:rsid w:val="61BE06F1"/>
    <w:rsid w:val="626A569E"/>
    <w:rsid w:val="63490915"/>
    <w:rsid w:val="635A05F9"/>
    <w:rsid w:val="63722142"/>
    <w:rsid w:val="64F40EFF"/>
    <w:rsid w:val="65875E46"/>
    <w:rsid w:val="68C345A9"/>
    <w:rsid w:val="6C0C059E"/>
    <w:rsid w:val="6F877D0B"/>
    <w:rsid w:val="703B2327"/>
    <w:rsid w:val="70546545"/>
    <w:rsid w:val="724024E4"/>
    <w:rsid w:val="734A1FC8"/>
    <w:rsid w:val="7558161B"/>
    <w:rsid w:val="757E73F0"/>
    <w:rsid w:val="78FD7091"/>
    <w:rsid w:val="792773B1"/>
    <w:rsid w:val="7A711416"/>
    <w:rsid w:val="7CDB58E9"/>
    <w:rsid w:val="7D5829F7"/>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font11"/>
    <w:basedOn w:val="7"/>
    <w:autoRedefine/>
    <w:qFormat/>
    <w:uiPriority w:val="0"/>
    <w:rPr>
      <w:rFonts w:ascii="仿宋_GB2312" w:eastAsia="仿宋_GB2312" w:cs="仿宋_GB2312"/>
      <w:b/>
      <w:color w:val="333333"/>
      <w:sz w:val="24"/>
      <w:szCs w:val="24"/>
      <w:u w:val="none"/>
    </w:rPr>
  </w:style>
  <w:style w:type="character" w:customStyle="1" w:styleId="10">
    <w:name w:val="font21"/>
    <w:basedOn w:val="7"/>
    <w:autoRedefine/>
    <w:qFormat/>
    <w:uiPriority w:val="0"/>
    <w:rPr>
      <w:rFonts w:hint="eastAsia" w:ascii="宋体" w:hAnsi="宋体" w:eastAsia="宋体" w:cs="宋体"/>
      <w:color w:val="000000"/>
      <w:sz w:val="21"/>
      <w:szCs w:val="21"/>
      <w:u w:val="none"/>
    </w:rPr>
  </w:style>
  <w:style w:type="character" w:customStyle="1" w:styleId="11">
    <w:name w:val="font31"/>
    <w:basedOn w:val="7"/>
    <w:autoRedefine/>
    <w:qFormat/>
    <w:uiPriority w:val="0"/>
    <w:rPr>
      <w:rFonts w:hint="eastAsia" w:ascii="宋体" w:hAnsi="宋体" w:eastAsia="宋体" w:cs="宋体"/>
      <w:color w:val="000000"/>
      <w:sz w:val="21"/>
      <w:szCs w:val="21"/>
      <w:u w:val="none"/>
    </w:rPr>
  </w:style>
  <w:style w:type="character" w:customStyle="1" w:styleId="12">
    <w:name w:val="font51"/>
    <w:basedOn w:val="7"/>
    <w:autoRedefine/>
    <w:qFormat/>
    <w:uiPriority w:val="0"/>
    <w:rPr>
      <w:rFonts w:hint="default" w:ascii="Times New Roman" w:hAnsi="Times New Roman" w:cs="Times New Roman"/>
      <w:color w:val="000000"/>
      <w:sz w:val="21"/>
      <w:szCs w:val="21"/>
      <w:u w:val="none"/>
    </w:rPr>
  </w:style>
  <w:style w:type="character" w:customStyle="1" w:styleId="13">
    <w:name w:val="font41"/>
    <w:basedOn w:val="7"/>
    <w:autoRedefine/>
    <w:qFormat/>
    <w:uiPriority w:val="0"/>
    <w:rPr>
      <w:rFonts w:hint="eastAsia" w:ascii="宋体" w:hAnsi="宋体" w:eastAsia="宋体" w:cs="宋体"/>
      <w:color w:val="000000"/>
      <w:sz w:val="21"/>
      <w:szCs w:val="21"/>
      <w:u w:val="none"/>
    </w:rPr>
  </w:style>
  <w:style w:type="character" w:customStyle="1" w:styleId="14">
    <w:name w:val="font01"/>
    <w:basedOn w:val="7"/>
    <w:autoRedefine/>
    <w:qFormat/>
    <w:uiPriority w:val="0"/>
    <w:rPr>
      <w:rFonts w:hint="eastAsia" w:ascii="宋体" w:hAnsi="宋体" w:eastAsia="宋体" w:cs="宋体"/>
      <w:color w:val="000000"/>
      <w:sz w:val="21"/>
      <w:szCs w:val="21"/>
      <w:u w:val="none"/>
    </w:rPr>
  </w:style>
  <w:style w:type="character" w:customStyle="1" w:styleId="15">
    <w:name w:val="font61"/>
    <w:basedOn w:val="7"/>
    <w:autoRedefine/>
    <w:qFormat/>
    <w:uiPriority w:val="0"/>
    <w:rPr>
      <w:rFonts w:hint="eastAsia" w:ascii="宋体" w:hAnsi="宋体" w:eastAsia="宋体" w:cs="宋体"/>
      <w:color w:val="000000"/>
      <w:sz w:val="21"/>
      <w:szCs w:val="21"/>
      <w:u w:val="none"/>
    </w:rPr>
  </w:style>
  <w:style w:type="character" w:customStyle="1" w:styleId="16">
    <w:name w:val="font71"/>
    <w:basedOn w:val="7"/>
    <w:autoRedefine/>
    <w:qFormat/>
    <w:uiPriority w:val="0"/>
    <w:rPr>
      <w:rFonts w:hint="eastAsia" w:ascii="宋体" w:hAnsi="宋体" w:eastAsia="宋体" w:cs="宋体"/>
      <w:color w:val="000000"/>
      <w:sz w:val="21"/>
      <w:szCs w:val="21"/>
      <w:u w:val="none"/>
    </w:rPr>
  </w:style>
  <w:style w:type="character" w:customStyle="1" w:styleId="17">
    <w:name w:val="font81"/>
    <w:basedOn w:val="7"/>
    <w:autoRedefine/>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1830</Words>
  <Characters>2017</Characters>
  <Lines>12</Lines>
  <Paragraphs>3</Paragraphs>
  <TotalTime>1</TotalTime>
  <ScaleCrop>false</ScaleCrop>
  <LinksUpToDate>false</LinksUpToDate>
  <CharactersWithSpaces>2043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小白</cp:lastModifiedBy>
  <cp:lastPrinted>2024-05-17T03:08:36Z</cp:lastPrinted>
  <dcterms:modified xsi:type="dcterms:W3CDTF">2024-05-17T03:08:42Z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8311DCC570744D048440A279FB7CFF33</vt:lpwstr>
  </property>
</Properties>
</file>